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hd w:val="clear" w:color="auto" w:fill="FFFFFF"/>
        <w:jc w:val="center"/>
        <w:outlineLvl w:val="0"/>
        <w:rPr>
          <w:rFonts w:hint="eastAsia" w:ascii="宋体" w:hAnsi="宋体" w:eastAsia="宋体" w:cs="Courier New"/>
          <w:b/>
          <w:bCs w:val="0"/>
          <w:kern w:val="2"/>
          <w:sz w:val="52"/>
          <w:szCs w:val="52"/>
          <w:lang w:val="en-US" w:eastAsia="zh-CN" w:bidi="ar-SA"/>
        </w:rPr>
      </w:pPr>
      <w:bookmarkStart w:id="0" w:name="_Toc30315"/>
      <w:bookmarkStart w:id="1" w:name="_Toc12486"/>
      <w:bookmarkStart w:id="2" w:name="_Toc7158"/>
      <w:r>
        <w:rPr>
          <w:rFonts w:hint="eastAsia" w:ascii="宋体" w:hAnsi="宋体" w:eastAsia="宋体" w:cs="Courier New"/>
          <w:b/>
          <w:bCs w:val="0"/>
          <w:kern w:val="2"/>
          <w:sz w:val="52"/>
          <w:szCs w:val="52"/>
          <w:lang w:val="en-US" w:eastAsia="zh-CN" w:bidi="ar-SA"/>
        </w:rPr>
        <w:t>宁夏职业技术学院生命科技学院</w:t>
      </w:r>
      <w:bookmarkEnd w:id="0"/>
      <w:bookmarkEnd w:id="1"/>
      <w:bookmarkEnd w:id="2"/>
    </w:p>
    <w:p>
      <w:pPr>
        <w:pStyle w:val="7"/>
        <w:keepNext w:val="0"/>
        <w:keepLines w:val="0"/>
        <w:widowControl/>
        <w:shd w:val="clear" w:color="auto" w:fill="FFFFFF"/>
        <w:jc w:val="center"/>
        <w:outlineLvl w:val="0"/>
        <w:rPr>
          <w:rFonts w:hint="eastAsia" w:ascii="宋体" w:hAnsi="宋体" w:eastAsia="宋体" w:cs="Courier New"/>
          <w:b/>
          <w:bCs w:val="0"/>
          <w:kern w:val="2"/>
          <w:sz w:val="52"/>
          <w:szCs w:val="52"/>
          <w:lang w:val="en-US" w:eastAsia="zh-CN" w:bidi="ar-SA"/>
        </w:rPr>
      </w:pPr>
      <w:bookmarkStart w:id="3" w:name="_Toc16676"/>
      <w:bookmarkStart w:id="4" w:name="_Toc20832"/>
      <w:bookmarkStart w:id="5" w:name="_Toc16947"/>
      <w:r>
        <w:rPr>
          <w:rFonts w:hint="eastAsia" w:ascii="宋体" w:hAnsi="宋体" w:eastAsia="宋体" w:cs="Courier New"/>
          <w:b/>
          <w:bCs w:val="0"/>
          <w:kern w:val="2"/>
          <w:sz w:val="52"/>
          <w:szCs w:val="52"/>
          <w:lang w:val="en-US" w:eastAsia="zh-CN" w:bidi="ar-SA"/>
        </w:rPr>
        <w:t>农产品流通追溯中心装修项目</w:t>
      </w:r>
      <w:bookmarkEnd w:id="3"/>
      <w:bookmarkEnd w:id="4"/>
      <w:bookmarkEnd w:id="5"/>
    </w:p>
    <w:p>
      <w:pPr>
        <w:pStyle w:val="7"/>
        <w:keepNext w:val="0"/>
        <w:keepLines w:val="0"/>
        <w:widowControl/>
        <w:shd w:val="clear" w:color="auto" w:fill="FFFFFF"/>
        <w:jc w:val="center"/>
        <w:outlineLvl w:val="0"/>
        <w:rPr>
          <w:rFonts w:hint="default" w:ascii="宋体" w:hAnsi="宋体" w:eastAsia="宋体" w:cs="Courier New"/>
          <w:b/>
          <w:bCs w:val="0"/>
          <w:kern w:val="2"/>
          <w:sz w:val="52"/>
          <w:szCs w:val="52"/>
          <w:lang w:val="en-US" w:eastAsia="zh-CN" w:bidi="ar-SA"/>
        </w:rPr>
      </w:pPr>
      <w:bookmarkStart w:id="6" w:name="_Toc21582"/>
      <w:bookmarkStart w:id="7" w:name="_Toc32323"/>
      <w:bookmarkStart w:id="8" w:name="_Toc19366"/>
      <w:r>
        <w:rPr>
          <w:rFonts w:hint="eastAsia" w:ascii="宋体" w:hAnsi="宋体" w:eastAsia="宋体" w:cs="Courier New"/>
          <w:b/>
          <w:bCs w:val="0"/>
          <w:kern w:val="2"/>
          <w:sz w:val="52"/>
          <w:szCs w:val="52"/>
          <w:lang w:val="en-US" w:eastAsia="zh-CN" w:bidi="ar-SA"/>
        </w:rPr>
        <w:t>竞争性磋商公告</w:t>
      </w:r>
      <w:bookmarkEnd w:id="6"/>
      <w:bookmarkEnd w:id="7"/>
      <w:bookmarkEnd w:id="8"/>
    </w:p>
    <w:p>
      <w:pPr>
        <w:pStyle w:val="9"/>
        <w:jc w:val="center"/>
        <w:rPr>
          <w:rFonts w:hint="eastAsia" w:ascii="宋体" w:hAnsi="宋体" w:eastAsia="宋体" w:cs="Courier New"/>
          <w:b/>
          <w:bCs w:val="0"/>
          <w:kern w:val="2"/>
          <w:sz w:val="52"/>
          <w:szCs w:val="52"/>
          <w:lang w:val="en-US" w:eastAsia="zh-CN" w:bidi="ar-SA"/>
        </w:rPr>
      </w:pPr>
    </w:p>
    <w:p>
      <w:pPr>
        <w:pStyle w:val="9"/>
        <w:rPr>
          <w:rFonts w:hint="eastAsia" w:ascii="宋体" w:hAnsi="宋体" w:eastAsia="宋体" w:cs="Courier New"/>
          <w:b/>
          <w:bCs w:val="0"/>
          <w:kern w:val="2"/>
          <w:sz w:val="52"/>
          <w:szCs w:val="52"/>
          <w:lang w:val="en-US" w:eastAsia="zh-CN" w:bidi="ar-SA"/>
        </w:rPr>
      </w:pPr>
    </w:p>
    <w:p>
      <w:pPr>
        <w:pStyle w:val="9"/>
        <w:jc w:val="center"/>
        <w:rPr>
          <w:rFonts w:hint="eastAsia" w:hAnsi="宋体"/>
          <w:b/>
          <w:sz w:val="44"/>
          <w:szCs w:val="44"/>
        </w:rPr>
      </w:pPr>
    </w:p>
    <w:p>
      <w:pPr>
        <w:pStyle w:val="9"/>
        <w:spacing w:line="1200" w:lineRule="exact"/>
        <w:jc w:val="left"/>
        <w:rPr>
          <w:rFonts w:hint="eastAsia" w:hAnsi="宋体"/>
          <w:b/>
          <w:sz w:val="44"/>
          <w:szCs w:val="44"/>
        </w:rPr>
      </w:pPr>
    </w:p>
    <w:p>
      <w:pPr>
        <w:pStyle w:val="9"/>
        <w:spacing w:line="1200" w:lineRule="exact"/>
        <w:jc w:val="left"/>
        <w:rPr>
          <w:rFonts w:hint="eastAsia" w:hAnsi="宋体"/>
          <w:b/>
          <w:sz w:val="44"/>
          <w:szCs w:val="44"/>
        </w:rPr>
      </w:pPr>
    </w:p>
    <w:p>
      <w:pPr>
        <w:pStyle w:val="9"/>
        <w:spacing w:line="1200" w:lineRule="exact"/>
        <w:jc w:val="left"/>
        <w:rPr>
          <w:rFonts w:hint="eastAsia" w:hAnsi="宋体"/>
          <w:b/>
          <w:sz w:val="44"/>
          <w:szCs w:val="44"/>
        </w:rPr>
      </w:pPr>
    </w:p>
    <w:p>
      <w:pPr>
        <w:pStyle w:val="9"/>
        <w:spacing w:line="1200" w:lineRule="exact"/>
        <w:jc w:val="left"/>
        <w:rPr>
          <w:rFonts w:hint="eastAsia" w:hAnsi="宋体"/>
          <w:b/>
          <w:sz w:val="32"/>
          <w:szCs w:val="32"/>
        </w:rPr>
      </w:pPr>
    </w:p>
    <w:p>
      <w:pPr>
        <w:spacing w:line="360" w:lineRule="auto"/>
        <w:jc w:val="center"/>
        <w:rPr>
          <w:rFonts w:hint="eastAsia" w:ascii="宋体" w:hAnsi="宋体" w:eastAsia="宋体" w:cs="Courier New"/>
          <w:b/>
          <w:bCs w:val="0"/>
          <w:kern w:val="2"/>
          <w:sz w:val="28"/>
          <w:szCs w:val="28"/>
          <w:lang w:val="en-US" w:eastAsia="zh-CN" w:bidi="ar-SA"/>
        </w:rPr>
      </w:pPr>
      <w:r>
        <w:rPr>
          <w:rFonts w:hint="eastAsia" w:ascii="宋体" w:hAnsi="宋体" w:eastAsia="宋体" w:cs="Courier New"/>
          <w:b/>
          <w:bCs w:val="0"/>
          <w:kern w:val="2"/>
          <w:sz w:val="28"/>
          <w:szCs w:val="28"/>
          <w:lang w:val="en-US" w:eastAsia="zh-CN" w:bidi="ar-SA"/>
        </w:rPr>
        <w:t>采 购 人：宁夏职业技术学院</w:t>
      </w:r>
    </w:p>
    <w:p>
      <w:pPr>
        <w:spacing w:line="360" w:lineRule="auto"/>
        <w:jc w:val="center"/>
        <w:rPr>
          <w:rFonts w:hint="eastAsia" w:ascii="宋体" w:hAnsi="宋体" w:eastAsia="宋体" w:cs="Courier New"/>
          <w:b/>
          <w:bCs w:val="0"/>
          <w:kern w:val="2"/>
          <w:sz w:val="28"/>
          <w:szCs w:val="28"/>
          <w:lang w:val="en-US" w:eastAsia="zh-CN" w:bidi="ar-SA"/>
        </w:rPr>
      </w:pPr>
      <w:r>
        <w:rPr>
          <w:rFonts w:hint="eastAsia" w:ascii="宋体" w:hAnsi="宋体" w:eastAsia="宋体" w:cs="Courier New"/>
          <w:b/>
          <w:bCs w:val="0"/>
          <w:kern w:val="2"/>
          <w:sz w:val="28"/>
          <w:szCs w:val="28"/>
          <w:lang w:val="en-US" w:eastAsia="zh-CN" w:bidi="ar-SA"/>
        </w:rPr>
        <w:t>2022年10月</w:t>
      </w:r>
    </w:p>
    <w:p>
      <w:pPr>
        <w:pStyle w:val="9"/>
        <w:spacing w:line="480" w:lineRule="auto"/>
        <w:jc w:val="center"/>
        <w:rPr>
          <w:rFonts w:hint="eastAsia" w:hAnsi="宋体"/>
          <w:b/>
          <w:sz w:val="32"/>
          <w:szCs w:val="32"/>
        </w:rPr>
      </w:pPr>
    </w:p>
    <w:p>
      <w:pPr>
        <w:spacing w:line="460" w:lineRule="exact"/>
        <w:jc w:val="center"/>
        <w:rPr>
          <w:rFonts w:ascii="宋体" w:hAnsi="宋体"/>
          <w:b/>
          <w:sz w:val="36"/>
          <w:szCs w:val="36"/>
        </w:rPr>
      </w:pPr>
      <w:r>
        <w:rPr>
          <w:rFonts w:ascii="宋体" w:hAnsi="宋体"/>
          <w:b/>
          <w:sz w:val="36"/>
          <w:szCs w:val="36"/>
        </w:rPr>
        <w:br w:type="page"/>
      </w:r>
    </w:p>
    <w:p>
      <w:pPr>
        <w:spacing w:line="460" w:lineRule="exact"/>
        <w:jc w:val="center"/>
        <w:rPr>
          <w:rFonts w:hint="eastAsia" w:ascii="宋体" w:hAnsi="宋体"/>
          <w:b/>
          <w:sz w:val="44"/>
          <w:szCs w:val="44"/>
        </w:rPr>
      </w:pPr>
      <w:r>
        <w:rPr>
          <w:rFonts w:hint="eastAsia" w:ascii="宋体" w:hAnsi="宋体"/>
          <w:b/>
          <w:sz w:val="44"/>
          <w:szCs w:val="44"/>
        </w:rPr>
        <w:t>目  录</w:t>
      </w:r>
    </w:p>
    <w:p>
      <w:pPr>
        <w:pStyle w:val="2"/>
        <w:rPr>
          <w:rFonts w:hint="eastAsia"/>
          <w:sz w:val="44"/>
          <w:szCs w:val="44"/>
        </w:rPr>
      </w:pPr>
    </w:p>
    <w:sdt>
      <w:sdtPr>
        <w:rPr>
          <w:rFonts w:ascii="宋体" w:hAnsi="宋体" w:eastAsia="宋体" w:cs="Times New Roman"/>
          <w:kern w:val="2"/>
          <w:sz w:val="21"/>
          <w:szCs w:val="24"/>
          <w:lang w:val="en-US" w:eastAsia="zh-CN" w:bidi="ar-SA"/>
        </w:rPr>
        <w:id w:val="147457487"/>
        <w15:color w:val="DBDBDB"/>
        <w:docPartObj>
          <w:docPartGallery w:val="Table of Contents"/>
          <w:docPartUnique/>
        </w:docPartObj>
      </w:sdtPr>
      <w:sdtEndPr>
        <w:rPr>
          <w:rFonts w:hint="eastAsia" w:ascii="宋体" w:hAnsi="宋体" w:eastAsia="宋体" w:cs="宋体"/>
          <w:kern w:val="2"/>
          <w:sz w:val="30"/>
          <w:szCs w:val="30"/>
          <w:lang w:val="en-US" w:eastAsia="zh-CN" w:bidi="ar-SA"/>
        </w:rPr>
      </w:sdtEndPr>
      <w:sdtContent>
        <w:p>
          <w:pPr>
            <w:spacing w:before="0" w:beforeLines="0" w:after="0" w:afterLines="0" w:line="240" w:lineRule="auto"/>
            <w:ind w:left="0" w:leftChars="0" w:right="0" w:rightChars="0" w:firstLine="0" w:firstLineChars="0"/>
            <w:jc w:val="center"/>
          </w:pPr>
        </w:p>
        <w:p>
          <w:pPr>
            <w:pStyle w:val="13"/>
            <w:tabs>
              <w:tab w:val="right" w:leader="dot" w:pos="9026"/>
            </w:tabs>
            <w:spacing w:line="60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TOC \o "1-1" \h \u </w:instrText>
          </w:r>
          <w:r>
            <w:rPr>
              <w:rFonts w:hint="eastAsia" w:ascii="宋体" w:hAnsi="宋体" w:eastAsia="宋体" w:cs="宋体"/>
              <w:sz w:val="30"/>
              <w:szCs w:val="30"/>
            </w:rPr>
            <w:fldChar w:fldCharType="separate"/>
          </w:r>
        </w:p>
        <w:p>
          <w:pPr>
            <w:pStyle w:val="13"/>
            <w:tabs>
              <w:tab w:val="right" w:leader="dot" w:pos="9026"/>
            </w:tabs>
            <w:spacing w:line="60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_Toc3900 </w:instrText>
          </w:r>
          <w:r>
            <w:rPr>
              <w:rFonts w:hint="eastAsia" w:ascii="宋体" w:hAnsi="宋体" w:eastAsia="宋体" w:cs="宋体"/>
              <w:sz w:val="30"/>
              <w:szCs w:val="30"/>
            </w:rPr>
            <w:fldChar w:fldCharType="separate"/>
          </w:r>
          <w:r>
            <w:rPr>
              <w:rFonts w:hint="eastAsia" w:ascii="宋体" w:hAnsi="宋体" w:eastAsia="宋体" w:cs="宋体"/>
              <w:sz w:val="30"/>
              <w:szCs w:val="30"/>
            </w:rPr>
            <w:t>第一章  竞争性磋商</w:t>
          </w:r>
          <w:r>
            <w:rPr>
              <w:rFonts w:hint="eastAsia" w:ascii="宋体" w:hAnsi="宋体" w:eastAsia="宋体" w:cs="宋体"/>
              <w:bCs/>
              <w:sz w:val="30"/>
              <w:szCs w:val="30"/>
            </w:rPr>
            <w:t>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_Toc3900 \h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026"/>
            </w:tabs>
            <w:spacing w:line="60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_Toc26455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 xml:space="preserve">第二章 </w:t>
          </w:r>
          <w:r>
            <w:rPr>
              <w:rFonts w:hint="eastAsia" w:ascii="宋体" w:hAnsi="宋体" w:eastAsia="宋体" w:cs="宋体"/>
              <w:sz w:val="30"/>
              <w:szCs w:val="30"/>
            </w:rPr>
            <w:t>磋商须知前附表</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_Toc26455 \h </w:instrText>
          </w:r>
          <w:r>
            <w:rPr>
              <w:rFonts w:hint="eastAsia" w:ascii="宋体" w:hAnsi="宋体" w:eastAsia="宋体" w:cs="宋体"/>
              <w:sz w:val="30"/>
              <w:szCs w:val="30"/>
            </w:rPr>
            <w:fldChar w:fldCharType="separate"/>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026"/>
            </w:tabs>
            <w:spacing w:line="60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_Toc876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第三章  供应商须知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_Toc876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026"/>
            </w:tabs>
            <w:spacing w:line="60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_Toc32065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第四章 评标方法和标准</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_Toc32065 \h </w:instrText>
          </w:r>
          <w:r>
            <w:rPr>
              <w:rFonts w:hint="eastAsia" w:ascii="宋体" w:hAnsi="宋体" w:eastAsia="宋体" w:cs="宋体"/>
              <w:sz w:val="30"/>
              <w:szCs w:val="30"/>
            </w:rPr>
            <w:fldChar w:fldCharType="separate"/>
          </w:r>
          <w:r>
            <w:rPr>
              <w:rFonts w:hint="eastAsia" w:ascii="宋体" w:hAnsi="宋体" w:eastAsia="宋体" w:cs="宋体"/>
              <w:sz w:val="30"/>
              <w:szCs w:val="30"/>
            </w:rPr>
            <w:t>14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026"/>
            </w:tabs>
            <w:spacing w:line="60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_Toc32388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 xml:space="preserve">第五章 </w:t>
          </w:r>
          <w:r>
            <w:rPr>
              <w:rFonts w:hint="eastAsia" w:ascii="宋体" w:hAnsi="宋体" w:eastAsia="宋体" w:cs="宋体"/>
              <w:sz w:val="30"/>
              <w:szCs w:val="30"/>
              <w:lang w:val="en-US" w:eastAsia="en-US"/>
            </w:rPr>
            <w:t>技术要求</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_Toc32388 \h </w:instrText>
          </w:r>
          <w:r>
            <w:rPr>
              <w:rFonts w:hint="eastAsia" w:ascii="宋体" w:hAnsi="宋体" w:eastAsia="宋体" w:cs="宋体"/>
              <w:sz w:val="30"/>
              <w:szCs w:val="30"/>
            </w:rPr>
            <w:fldChar w:fldCharType="separate"/>
          </w:r>
          <w:r>
            <w:rPr>
              <w:rFonts w:hint="eastAsia" w:ascii="宋体" w:hAnsi="宋体" w:eastAsia="宋体" w:cs="宋体"/>
              <w:sz w:val="30"/>
              <w:szCs w:val="30"/>
            </w:rPr>
            <w:t>16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3"/>
            <w:tabs>
              <w:tab w:val="right" w:leader="dot" w:pos="9026"/>
            </w:tabs>
            <w:spacing w:line="600" w:lineRule="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_Toc8555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第六章  响应文件格式</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_Toc8555 \h </w:instrText>
          </w:r>
          <w:r>
            <w:rPr>
              <w:rFonts w:hint="eastAsia" w:ascii="宋体" w:hAnsi="宋体" w:eastAsia="宋体" w:cs="宋体"/>
              <w:sz w:val="30"/>
              <w:szCs w:val="30"/>
            </w:rPr>
            <w:fldChar w:fldCharType="separate"/>
          </w:r>
          <w:r>
            <w:rPr>
              <w:rFonts w:hint="eastAsia" w:ascii="宋体" w:hAnsi="宋体" w:eastAsia="宋体" w:cs="宋体"/>
              <w:sz w:val="30"/>
              <w:szCs w:val="30"/>
            </w:rPr>
            <w:t>17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tabs>
              <w:tab w:val="right" w:leader="dot" w:pos="9072"/>
            </w:tabs>
            <w:spacing w:line="600" w:lineRule="auto"/>
            <w:ind w:firstLine="450" w:firstLineChars="150"/>
            <w:rPr>
              <w:rFonts w:hint="eastAsia" w:ascii="宋体" w:hAnsi="宋体" w:eastAsia="宋体" w:cs="宋体"/>
              <w:sz w:val="30"/>
              <w:szCs w:val="30"/>
            </w:rPr>
            <w:sectPr>
              <w:footerReference r:id="rId6" w:type="first"/>
              <w:headerReference r:id="rId3" w:type="default"/>
              <w:footerReference r:id="rId4" w:type="default"/>
              <w:footerReference r:id="rId5" w:type="even"/>
              <w:pgSz w:w="11906" w:h="16838"/>
              <w:pgMar w:top="1440" w:right="1440" w:bottom="1440" w:left="1440" w:header="567" w:footer="567" w:gutter="0"/>
              <w:pgNumType w:start="0"/>
              <w:cols w:space="720" w:num="1"/>
              <w:titlePg/>
              <w:docGrid w:type="lines" w:linePitch="312" w:charSpace="0"/>
            </w:sectPr>
          </w:pPr>
          <w:r>
            <w:rPr>
              <w:rFonts w:hint="eastAsia" w:ascii="宋体" w:hAnsi="宋体" w:eastAsia="宋体" w:cs="宋体"/>
              <w:sz w:val="30"/>
              <w:szCs w:val="30"/>
            </w:rPr>
            <w:fldChar w:fldCharType="end"/>
          </w:r>
        </w:p>
      </w:sdtContent>
    </w:sdt>
    <w:p>
      <w:pPr>
        <w:pStyle w:val="9"/>
        <w:spacing w:line="360" w:lineRule="auto"/>
        <w:jc w:val="center"/>
        <w:outlineLvl w:val="0"/>
        <w:rPr>
          <w:rFonts w:hint="eastAsia" w:hAnsi="宋体"/>
          <w:b/>
          <w:sz w:val="36"/>
          <w:szCs w:val="36"/>
        </w:rPr>
      </w:pPr>
      <w:bookmarkStart w:id="9" w:name="_Toc3900"/>
      <w:r>
        <w:rPr>
          <w:rFonts w:hint="eastAsia" w:hAnsi="宋体"/>
          <w:b/>
          <w:sz w:val="36"/>
          <w:szCs w:val="36"/>
        </w:rPr>
        <w:t>第一章  竞争性磋商</w:t>
      </w:r>
      <w:r>
        <w:rPr>
          <w:rFonts w:hint="eastAsia" w:hAnsi="宋体"/>
          <w:b/>
          <w:bCs/>
          <w:sz w:val="36"/>
          <w:szCs w:val="36"/>
        </w:rPr>
        <w:t>公告</w:t>
      </w:r>
      <w:bookmarkEnd w:id="9"/>
    </w:p>
    <w:p>
      <w:pPr>
        <w:spacing w:line="360" w:lineRule="auto"/>
        <w:jc w:val="center"/>
        <w:rPr>
          <w:rFonts w:hint="eastAsia" w:ascii="宋体" w:hAnsi="宋体" w:cs="Courier New"/>
          <w:b/>
          <w:sz w:val="28"/>
        </w:rPr>
      </w:pPr>
      <w:r>
        <w:rPr>
          <w:rFonts w:hint="eastAsia" w:ascii="宋体" w:hAnsi="宋体" w:eastAsia="宋体" w:cs="Courier New"/>
          <w:b/>
          <w:sz w:val="28"/>
          <w:lang w:val="en-US" w:eastAsia="zh-CN"/>
        </w:rPr>
        <w:t>宁夏职业技术学院--农产品流通追溯中心装修项目</w:t>
      </w:r>
      <w:r>
        <w:rPr>
          <w:rFonts w:hint="eastAsia" w:ascii="宋体" w:hAnsi="宋体" w:cs="Courier New"/>
          <w:b/>
          <w:sz w:val="28"/>
        </w:rPr>
        <w:t>竞争性磋商</w:t>
      </w:r>
      <w:r>
        <w:rPr>
          <w:rFonts w:hint="eastAsia" w:ascii="宋体" w:hAnsi="宋体" w:cs="Courier New"/>
          <w:b/>
          <w:bCs/>
          <w:sz w:val="28"/>
        </w:rPr>
        <w:t>公告</w:t>
      </w:r>
    </w:p>
    <w:p>
      <w:pPr>
        <w:spacing w:line="360" w:lineRule="auto"/>
        <w:rPr>
          <w:rFonts w:hint="eastAsia" w:ascii="宋体" w:hAnsi="宋体" w:cs="Courier New"/>
          <w:b/>
          <w:sz w:val="24"/>
        </w:rPr>
      </w:pPr>
      <w:r>
        <w:rPr>
          <w:rFonts w:hint="eastAsia" w:ascii="宋体" w:hAnsi="宋体" w:cs="Courier New"/>
          <w:b/>
          <w:sz w:val="24"/>
        </w:rPr>
        <w:t>1.招标条件</w:t>
      </w:r>
    </w:p>
    <w:p>
      <w:pPr>
        <w:spacing w:line="360" w:lineRule="auto"/>
        <w:ind w:firstLine="480" w:firstLineChars="200"/>
        <w:rPr>
          <w:rFonts w:hint="eastAsia" w:ascii="宋体" w:hAnsi="宋体" w:cs="Courier New"/>
          <w:sz w:val="24"/>
        </w:rPr>
      </w:pPr>
      <w:r>
        <w:rPr>
          <w:rFonts w:hint="eastAsia" w:ascii="宋体" w:hAnsi="宋体" w:cs="Courier New"/>
          <w:sz w:val="24"/>
        </w:rPr>
        <w:t>本招标项目已由上级部门批准建设，招标人为</w:t>
      </w:r>
      <w:r>
        <w:rPr>
          <w:rFonts w:hint="eastAsia" w:ascii="宋体" w:hAnsi="宋体" w:eastAsia="宋体" w:cs="Courier New"/>
          <w:sz w:val="24"/>
        </w:rPr>
        <w:t>宁夏</w:t>
      </w:r>
      <w:r>
        <w:rPr>
          <w:rFonts w:hint="eastAsia" w:ascii="宋体" w:hAnsi="宋体" w:cs="Courier New"/>
          <w:sz w:val="24"/>
        </w:rPr>
        <w:t>职业技术学院。建设资金已落实，项目已具备招标条件，现对该项目的施工进行竞争性磋商招标。</w:t>
      </w:r>
    </w:p>
    <w:p>
      <w:pPr>
        <w:spacing w:line="360" w:lineRule="auto"/>
        <w:rPr>
          <w:rFonts w:hint="eastAsia" w:ascii="宋体" w:hAnsi="宋体" w:cs="Courier New"/>
          <w:b/>
          <w:sz w:val="24"/>
        </w:rPr>
      </w:pPr>
      <w:r>
        <w:rPr>
          <w:rFonts w:hint="eastAsia" w:ascii="宋体" w:hAnsi="宋体" w:cs="Courier New"/>
          <w:b/>
          <w:sz w:val="24"/>
        </w:rPr>
        <w:t>2.项目概况与招标范围</w:t>
      </w:r>
    </w:p>
    <w:p>
      <w:pPr>
        <w:spacing w:line="360" w:lineRule="auto"/>
        <w:ind w:firstLine="480" w:firstLineChars="200"/>
        <w:rPr>
          <w:rFonts w:hint="eastAsia" w:ascii="宋体" w:hAnsi="宋体" w:cs="Courier New"/>
          <w:sz w:val="24"/>
        </w:rPr>
      </w:pPr>
      <w:r>
        <w:rPr>
          <w:rFonts w:hint="eastAsia" w:ascii="宋体" w:hAnsi="宋体" w:cs="Courier New"/>
          <w:sz w:val="24"/>
        </w:rPr>
        <w:t>2.1项目概况：</w:t>
      </w:r>
      <w:r>
        <w:rPr>
          <w:rFonts w:hint="eastAsia" w:ascii="宋体" w:hAnsi="宋体" w:cs="Courier New"/>
          <w:sz w:val="24"/>
          <w:lang w:eastAsia="zh-CN"/>
        </w:rPr>
        <w:t>宁夏职业技术学院生命科技学院农产品流通追溯中心装修项目</w:t>
      </w:r>
      <w:r>
        <w:rPr>
          <w:rFonts w:hint="eastAsia" w:ascii="宋体" w:hAnsi="宋体" w:cs="Courier New"/>
          <w:sz w:val="24"/>
          <w:lang w:val="en-US" w:eastAsia="zh-CN"/>
        </w:rPr>
        <w:t>建设地点位于宁夏职业技术学院新校区；项目建设内容主要包括：对现代农业综合公共实训中心一楼B101，面积131㎡进行装修改造，包括电路改造、吊顶、墙面、地面、展示柜制作等。</w:t>
      </w:r>
    </w:p>
    <w:p>
      <w:pPr>
        <w:spacing w:line="360" w:lineRule="auto"/>
        <w:ind w:firstLine="480" w:firstLineChars="200"/>
        <w:rPr>
          <w:rFonts w:hint="eastAsia" w:ascii="宋体" w:hAnsi="宋体" w:cs="Courier New"/>
          <w:sz w:val="24"/>
        </w:rPr>
      </w:pPr>
      <w:r>
        <w:rPr>
          <w:rFonts w:hint="eastAsia" w:ascii="宋体" w:hAnsi="宋体" w:cs="Courier New"/>
          <w:sz w:val="24"/>
        </w:rPr>
        <w:t>2.2招标内容：</w:t>
      </w:r>
      <w:r>
        <w:rPr>
          <w:rFonts w:hint="eastAsia" w:ascii="宋体" w:hAnsi="宋体" w:cs="Courier New"/>
          <w:sz w:val="24"/>
          <w:lang w:val="en-US" w:eastAsia="zh-CN"/>
        </w:rPr>
        <w:t>农产品流通追溯中心装修项目</w:t>
      </w:r>
      <w:r>
        <w:rPr>
          <w:rFonts w:hint="eastAsia" w:ascii="宋体" w:hAnsi="宋体" w:cs="Courier New"/>
          <w:sz w:val="24"/>
        </w:rPr>
        <w:t>施工。</w:t>
      </w:r>
    </w:p>
    <w:p>
      <w:pPr>
        <w:spacing w:line="360" w:lineRule="auto"/>
        <w:ind w:firstLine="480" w:firstLineChars="200"/>
        <w:rPr>
          <w:rFonts w:hint="eastAsia" w:ascii="宋体" w:hAnsi="宋体" w:cs="Courier New"/>
          <w:sz w:val="24"/>
        </w:rPr>
      </w:pPr>
      <w:r>
        <w:rPr>
          <w:rFonts w:hint="eastAsia" w:ascii="宋体" w:hAnsi="宋体" w:cs="Courier New"/>
          <w:sz w:val="24"/>
        </w:rPr>
        <w:t>2.3建设地点：银川市西夏区宁夏职业技术学院校园内。</w:t>
      </w:r>
    </w:p>
    <w:p>
      <w:pPr>
        <w:spacing w:line="360" w:lineRule="auto"/>
        <w:rPr>
          <w:rFonts w:hint="eastAsia" w:ascii="宋体" w:hAnsi="宋体" w:cs="Courier New"/>
          <w:b/>
          <w:sz w:val="24"/>
        </w:rPr>
      </w:pPr>
      <w:r>
        <w:rPr>
          <w:rFonts w:hint="eastAsia" w:ascii="宋体" w:hAnsi="宋体" w:cs="Courier New"/>
          <w:b/>
          <w:sz w:val="24"/>
        </w:rPr>
        <w:t>3.投标人资格要求</w:t>
      </w:r>
    </w:p>
    <w:p>
      <w:pPr>
        <w:spacing w:line="360" w:lineRule="auto"/>
        <w:ind w:firstLine="480" w:firstLineChars="200"/>
        <w:rPr>
          <w:rFonts w:hint="eastAsia" w:ascii="宋体" w:hAnsi="宋体" w:cs="Courier New"/>
          <w:sz w:val="24"/>
          <w:lang w:val="en-US" w:eastAsia="zh-CN"/>
        </w:rPr>
      </w:pPr>
      <w:r>
        <w:rPr>
          <w:rFonts w:hint="eastAsia" w:ascii="宋体" w:hAnsi="宋体" w:cs="Courier New"/>
          <w:sz w:val="24"/>
          <w:lang w:val="en-US" w:eastAsia="zh-CN"/>
        </w:rPr>
        <w:t>3.1法定代表人授权委托书及被授权人身份证；（法人直接参与投标可不提供法人授权委托书，但需提供法人身份证明文件）（原件）</w:t>
      </w:r>
    </w:p>
    <w:p>
      <w:pPr>
        <w:spacing w:line="360" w:lineRule="auto"/>
        <w:ind w:firstLine="480" w:firstLineChars="200"/>
        <w:rPr>
          <w:rFonts w:hint="eastAsia" w:ascii="宋体" w:hAnsi="宋体" w:cs="Courier New"/>
          <w:sz w:val="24"/>
          <w:lang w:val="en-US" w:eastAsia="zh-CN"/>
        </w:rPr>
      </w:pPr>
      <w:r>
        <w:rPr>
          <w:rFonts w:hint="eastAsia" w:ascii="宋体" w:hAnsi="宋体" w:cs="Courier New"/>
          <w:sz w:val="24"/>
          <w:lang w:val="en-US" w:eastAsia="zh-CN"/>
        </w:rPr>
        <w:t>3.2企业有效的营业执照、组织机构代码证、税务登记证（或三证合一的营业执照）；（原件）</w:t>
      </w:r>
    </w:p>
    <w:p>
      <w:pPr>
        <w:spacing w:line="360" w:lineRule="auto"/>
        <w:ind w:firstLine="480" w:firstLineChars="200"/>
        <w:rPr>
          <w:rFonts w:hint="eastAsia" w:ascii="宋体" w:hAnsi="宋体" w:cs="Courier New"/>
          <w:sz w:val="24"/>
          <w:lang w:val="en-US" w:eastAsia="zh-CN"/>
        </w:rPr>
      </w:pPr>
      <w:r>
        <w:rPr>
          <w:rFonts w:hint="eastAsia" w:ascii="宋体" w:hAnsi="宋体" w:cs="Courier New"/>
          <w:sz w:val="24"/>
          <w:lang w:val="en-US" w:eastAsia="zh-CN"/>
        </w:rPr>
        <w:t>3.3近期社会保障资金缴纳记录及依法纳税缴纳记录；（提供近半年内任意一个月的缴纳记录）；（如依法免税或不需要缴纳社会保障资金的，应提供相应文件予以证明）（复印件加盖投标单位公章）</w:t>
      </w:r>
    </w:p>
    <w:p>
      <w:pPr>
        <w:spacing w:line="360" w:lineRule="auto"/>
        <w:ind w:firstLine="480" w:firstLineChars="200"/>
        <w:rPr>
          <w:rFonts w:hint="eastAsia" w:ascii="宋体" w:hAnsi="宋体" w:cs="Courier New"/>
          <w:sz w:val="24"/>
          <w:lang w:val="en-US" w:eastAsia="zh-CN"/>
        </w:rPr>
      </w:pPr>
      <w:r>
        <w:rPr>
          <w:rFonts w:hint="eastAsia" w:ascii="宋体" w:hAnsi="宋体" w:cs="Courier New"/>
          <w:sz w:val="24"/>
          <w:lang w:val="en-US" w:eastAsia="zh-CN"/>
        </w:rPr>
        <w:t>3.4未被列入“信用中国”网站(www.creditchina.gov.cn)、中国政府采购网(www.ccgp.gov.cn)渠道信用记录失信被执行人、重大税收违法案件当事人名单、政府采购严重违法失信行为记录名单的投标人；（提供以上两个网站查询页面截图并加盖公章，查询时间为投标截止时间5日内，页面中的处罚日期不允许设置起始时间）；（复印件加盖投标单位公章）</w:t>
      </w:r>
    </w:p>
    <w:p>
      <w:pPr>
        <w:pStyle w:val="9"/>
        <w:spacing w:line="360" w:lineRule="auto"/>
        <w:rPr>
          <w:rFonts w:hint="eastAsia" w:hAnsi="宋体"/>
          <w:b/>
          <w:sz w:val="24"/>
          <w:szCs w:val="24"/>
        </w:rPr>
      </w:pPr>
      <w:r>
        <w:rPr>
          <w:rFonts w:hint="eastAsia" w:hAnsi="宋体"/>
          <w:b/>
          <w:sz w:val="24"/>
          <w:szCs w:val="24"/>
        </w:rPr>
        <w:t>4.</w:t>
      </w:r>
      <w:r>
        <w:rPr>
          <w:rFonts w:hint="eastAsia" w:hAnsi="宋体"/>
          <w:sz w:val="24"/>
          <w:szCs w:val="24"/>
        </w:rPr>
        <w:t xml:space="preserve"> </w:t>
      </w:r>
      <w:r>
        <w:rPr>
          <w:rFonts w:hint="eastAsia" w:hAnsi="宋体"/>
          <w:b/>
          <w:bCs/>
          <w:sz w:val="24"/>
          <w:szCs w:val="24"/>
        </w:rPr>
        <w:t>磋商文件的获取</w:t>
      </w:r>
    </w:p>
    <w:p>
      <w:pPr>
        <w:spacing w:line="360" w:lineRule="auto"/>
        <w:ind w:firstLine="480" w:firstLineChars="200"/>
        <w:rPr>
          <w:rFonts w:hint="eastAsia" w:ascii="宋体" w:hAnsi="宋体" w:cs="Courier New"/>
          <w:sz w:val="24"/>
          <w:lang w:eastAsia="zh-CN"/>
        </w:rPr>
      </w:pPr>
      <w:r>
        <w:rPr>
          <w:rFonts w:hint="eastAsia" w:ascii="宋体" w:hAnsi="宋体" w:cs="Courier New"/>
          <w:sz w:val="24"/>
        </w:rPr>
        <w:t>凡有意参加投标者，</w:t>
      </w:r>
      <w:r>
        <w:rPr>
          <w:rFonts w:hint="eastAsia" w:ascii="宋体" w:hAnsi="宋体" w:cs="Courier New"/>
          <w:sz w:val="24"/>
        </w:rPr>
        <w:t>请于2022年</w:t>
      </w:r>
      <w:r>
        <w:rPr>
          <w:rFonts w:hint="eastAsia" w:ascii="宋体" w:hAnsi="宋体" w:cs="Courier New"/>
          <w:sz w:val="24"/>
          <w:lang w:val="en-US" w:eastAsia="zh-CN"/>
        </w:rPr>
        <w:t>10</w:t>
      </w:r>
      <w:r>
        <w:rPr>
          <w:rFonts w:hint="eastAsia" w:ascii="宋体" w:hAnsi="宋体" w:cs="Courier New"/>
          <w:sz w:val="24"/>
        </w:rPr>
        <w:t>月</w:t>
      </w:r>
      <w:r>
        <w:rPr>
          <w:rFonts w:hint="eastAsia" w:ascii="宋体" w:hAnsi="宋体" w:cs="Courier New"/>
          <w:sz w:val="24"/>
          <w:lang w:val="en-US" w:eastAsia="zh-CN"/>
        </w:rPr>
        <w:t>6</w:t>
      </w:r>
      <w:r>
        <w:rPr>
          <w:rFonts w:hint="eastAsia" w:ascii="宋体" w:hAnsi="宋体" w:cs="Courier New"/>
          <w:sz w:val="24"/>
        </w:rPr>
        <w:t>日至2022年</w:t>
      </w:r>
      <w:r>
        <w:rPr>
          <w:rFonts w:hint="eastAsia" w:ascii="宋体" w:hAnsi="宋体" w:cs="Courier New"/>
          <w:sz w:val="24"/>
          <w:lang w:val="en-US" w:eastAsia="zh-CN"/>
        </w:rPr>
        <w:t>10</w:t>
      </w:r>
      <w:r>
        <w:rPr>
          <w:rFonts w:hint="eastAsia" w:ascii="宋体" w:hAnsi="宋体" w:cs="Courier New"/>
          <w:sz w:val="24"/>
        </w:rPr>
        <w:t>月1</w:t>
      </w:r>
      <w:r>
        <w:rPr>
          <w:rFonts w:hint="eastAsia" w:ascii="宋体" w:hAnsi="宋体" w:cs="Courier New"/>
          <w:sz w:val="24"/>
          <w:lang w:val="en-US" w:eastAsia="zh-CN"/>
        </w:rPr>
        <w:t>0</w:t>
      </w:r>
      <w:r>
        <w:rPr>
          <w:rFonts w:hint="eastAsia" w:ascii="宋体" w:hAnsi="宋体" w:cs="Courier New"/>
          <w:sz w:val="24"/>
        </w:rPr>
        <w:t>日到宁夏</w:t>
      </w:r>
      <w:r>
        <w:rPr>
          <w:rFonts w:hint="eastAsia" w:ascii="宋体" w:hAnsi="宋体" w:cs="Courier New"/>
          <w:sz w:val="24"/>
          <w:lang w:val="en-US" w:eastAsia="zh-CN"/>
        </w:rPr>
        <w:t>职业技术学院生命科技学院</w:t>
      </w:r>
      <w:r>
        <w:rPr>
          <w:rFonts w:hint="eastAsia" w:ascii="宋体" w:hAnsi="宋体" w:cs="Courier New"/>
          <w:sz w:val="24"/>
        </w:rPr>
        <w:t>领取</w:t>
      </w:r>
      <w:r>
        <w:rPr>
          <w:rFonts w:hint="eastAsia" w:ascii="宋体" w:hAnsi="宋体" w:cs="Courier New"/>
          <w:sz w:val="24"/>
          <w:lang w:eastAsia="zh-CN"/>
        </w:rPr>
        <w:t>（</w:t>
      </w:r>
      <w:r>
        <w:rPr>
          <w:rFonts w:hint="eastAsia" w:ascii="宋体" w:hAnsi="宋体" w:cs="Courier New"/>
          <w:sz w:val="24"/>
          <w:lang w:val="en-US" w:eastAsia="zh-CN"/>
        </w:rPr>
        <w:t>由疫情原因线上领取资料</w:t>
      </w:r>
      <w:r>
        <w:rPr>
          <w:rFonts w:hint="eastAsia" w:ascii="宋体" w:hAnsi="宋体" w:cs="Courier New"/>
          <w:sz w:val="24"/>
          <w:lang w:eastAsia="zh-CN"/>
        </w:rPr>
        <w:t>））。</w:t>
      </w:r>
    </w:p>
    <w:p>
      <w:pPr>
        <w:pStyle w:val="9"/>
        <w:spacing w:line="360" w:lineRule="auto"/>
        <w:rPr>
          <w:rFonts w:hint="eastAsia" w:hAnsi="宋体"/>
          <w:b/>
          <w:bCs/>
          <w:sz w:val="24"/>
          <w:szCs w:val="24"/>
        </w:rPr>
      </w:pPr>
      <w:r>
        <w:rPr>
          <w:rFonts w:hint="eastAsia" w:hAnsi="宋体"/>
          <w:b/>
          <w:bCs/>
          <w:sz w:val="24"/>
          <w:szCs w:val="24"/>
        </w:rPr>
        <w:t>5. 响应文件的递交</w:t>
      </w:r>
    </w:p>
    <w:p>
      <w:pPr>
        <w:spacing w:line="360" w:lineRule="auto"/>
        <w:ind w:firstLine="480" w:firstLineChars="200"/>
        <w:rPr>
          <w:rFonts w:hint="eastAsia" w:ascii="宋体" w:hAnsi="宋体" w:cs="Courier New"/>
          <w:sz w:val="24"/>
        </w:rPr>
      </w:pPr>
      <w:r>
        <w:rPr>
          <w:rFonts w:hint="eastAsia" w:ascii="宋体" w:hAnsi="宋体" w:cs="Courier New"/>
          <w:sz w:val="24"/>
        </w:rPr>
        <w:t>5.1响应文件递交的截止时间： 2022年</w:t>
      </w:r>
      <w:r>
        <w:rPr>
          <w:rFonts w:hint="eastAsia" w:ascii="宋体" w:hAnsi="宋体" w:cs="Courier New"/>
          <w:sz w:val="24"/>
          <w:lang w:val="en-US" w:eastAsia="zh-CN"/>
        </w:rPr>
        <w:t>10</w:t>
      </w:r>
      <w:r>
        <w:rPr>
          <w:rFonts w:hint="eastAsia" w:ascii="宋体" w:hAnsi="宋体" w:cs="Courier New"/>
          <w:sz w:val="24"/>
        </w:rPr>
        <w:t>月1</w:t>
      </w:r>
      <w:r>
        <w:rPr>
          <w:rFonts w:hint="eastAsia" w:ascii="宋体" w:hAnsi="宋体" w:cs="Courier New"/>
          <w:sz w:val="24"/>
          <w:lang w:val="en-US" w:eastAsia="zh-CN"/>
        </w:rPr>
        <w:t>4</w:t>
      </w:r>
      <w:r>
        <w:rPr>
          <w:rFonts w:hint="eastAsia" w:ascii="宋体" w:hAnsi="宋体" w:cs="Courier New"/>
          <w:sz w:val="24"/>
        </w:rPr>
        <w:t>日09时30分；递交地点：宁夏</w:t>
      </w:r>
      <w:r>
        <w:rPr>
          <w:rFonts w:hint="eastAsia" w:ascii="宋体" w:hAnsi="宋体" w:cs="Courier New"/>
          <w:sz w:val="24"/>
          <w:lang w:val="en-US" w:eastAsia="zh-CN"/>
        </w:rPr>
        <w:t>职业技术学院生命科技学院</w:t>
      </w:r>
      <w:r>
        <w:rPr>
          <w:rFonts w:hint="eastAsia" w:ascii="宋体" w:hAnsi="宋体" w:cs="Courier New"/>
          <w:sz w:val="24"/>
        </w:rPr>
        <w:t>；</w:t>
      </w:r>
    </w:p>
    <w:p>
      <w:pPr>
        <w:spacing w:line="360" w:lineRule="auto"/>
        <w:ind w:firstLine="480" w:firstLineChars="200"/>
        <w:rPr>
          <w:rFonts w:hint="eastAsia" w:ascii="宋体" w:hAnsi="宋体" w:cs="Courier New"/>
          <w:sz w:val="24"/>
        </w:rPr>
      </w:pPr>
      <w:r>
        <w:rPr>
          <w:rFonts w:hint="eastAsia" w:ascii="宋体" w:hAnsi="宋体" w:cs="Courier New"/>
          <w:sz w:val="24"/>
        </w:rPr>
        <w:t>5.2</w:t>
      </w:r>
      <w:r>
        <w:rPr>
          <w:rFonts w:hint="eastAsia" w:ascii="宋体" w:hAnsi="宋体" w:cs="Courier New"/>
          <w:sz w:val="24"/>
        </w:rPr>
        <w:t>逾期送达的或者未送达指定地点的响应文件，招标人不予受理。</w:t>
      </w:r>
    </w:p>
    <w:p>
      <w:pPr>
        <w:pStyle w:val="9"/>
        <w:adjustRightInd w:val="0"/>
        <w:spacing w:line="360" w:lineRule="auto"/>
        <w:rPr>
          <w:rFonts w:hint="eastAsia" w:hAnsi="宋体"/>
          <w:b/>
          <w:sz w:val="24"/>
          <w:szCs w:val="24"/>
        </w:rPr>
      </w:pPr>
      <w:r>
        <w:rPr>
          <w:rFonts w:hint="eastAsia" w:hAnsi="宋体"/>
          <w:b/>
          <w:sz w:val="24"/>
          <w:szCs w:val="24"/>
        </w:rPr>
        <w:t xml:space="preserve">6.发布公告的媒介 </w:t>
      </w:r>
    </w:p>
    <w:p>
      <w:pPr>
        <w:spacing w:line="360" w:lineRule="auto"/>
        <w:ind w:firstLine="480" w:firstLineChars="200"/>
        <w:rPr>
          <w:rFonts w:hint="eastAsia" w:ascii="宋体" w:hAnsi="宋体"/>
          <w:sz w:val="24"/>
        </w:rPr>
      </w:pPr>
      <w:r>
        <w:rPr>
          <w:rFonts w:hint="eastAsia" w:ascii="宋体" w:hAnsi="宋体"/>
          <w:sz w:val="24"/>
        </w:rPr>
        <w:t>本次招标公告同时在</w:t>
      </w:r>
      <w:r>
        <w:rPr>
          <w:rFonts w:hint="eastAsia" w:ascii="宋体" w:hAnsi="宋体"/>
          <w:sz w:val="24"/>
          <w:lang w:val="en-US" w:eastAsia="zh-CN"/>
        </w:rPr>
        <w:t>宁夏职业技术学院生命科技学院</w:t>
      </w:r>
      <w:r>
        <w:rPr>
          <w:rFonts w:hint="eastAsia" w:ascii="宋体" w:hAnsi="宋体"/>
          <w:sz w:val="24"/>
        </w:rPr>
        <w:t>网上发布。</w:t>
      </w:r>
    </w:p>
    <w:p>
      <w:pPr>
        <w:pStyle w:val="9"/>
        <w:spacing w:line="360" w:lineRule="auto"/>
        <w:rPr>
          <w:rFonts w:hint="eastAsia" w:hAnsi="宋体"/>
          <w:b/>
          <w:sz w:val="24"/>
          <w:szCs w:val="24"/>
        </w:rPr>
      </w:pPr>
      <w:r>
        <w:rPr>
          <w:rFonts w:hint="eastAsia" w:hAnsi="宋体"/>
          <w:b/>
          <w:sz w:val="24"/>
          <w:szCs w:val="24"/>
        </w:rPr>
        <w:t>7.联系方式</w:t>
      </w:r>
    </w:p>
    <w:p>
      <w:pPr>
        <w:spacing w:line="360" w:lineRule="auto"/>
        <w:ind w:firstLine="480" w:firstLineChars="200"/>
        <w:rPr>
          <w:rFonts w:hint="eastAsia" w:ascii="宋体" w:hAnsi="宋体" w:cs="Courier New"/>
          <w:sz w:val="24"/>
          <w:lang w:val="en-US" w:eastAsia="zh-CN"/>
        </w:rPr>
      </w:pPr>
      <w:bookmarkStart w:id="10" w:name="_Toc15638"/>
      <w:r>
        <w:rPr>
          <w:rFonts w:hint="eastAsia" w:ascii="宋体" w:hAnsi="宋体" w:cs="Courier New"/>
          <w:sz w:val="24"/>
          <w:lang w:val="en-US" w:eastAsia="zh-CN"/>
        </w:rPr>
        <w:t>采 购 人：</w:t>
      </w:r>
      <w:bookmarkEnd w:id="10"/>
      <w:r>
        <w:rPr>
          <w:rFonts w:hint="eastAsia" w:ascii="宋体" w:hAnsi="宋体" w:cs="Courier New"/>
          <w:sz w:val="24"/>
          <w:lang w:val="en-US" w:eastAsia="zh-CN"/>
        </w:rPr>
        <w:t xml:space="preserve">宁夏职业技术学院   </w:t>
      </w:r>
    </w:p>
    <w:p>
      <w:pPr>
        <w:spacing w:line="360" w:lineRule="auto"/>
        <w:ind w:firstLine="480" w:firstLineChars="200"/>
        <w:rPr>
          <w:rFonts w:hint="eastAsia" w:ascii="宋体" w:hAnsi="宋体" w:cs="Courier New"/>
          <w:sz w:val="24"/>
          <w:lang w:val="en-US" w:eastAsia="zh-CN"/>
        </w:rPr>
      </w:pPr>
      <w:bookmarkStart w:id="11" w:name="_Toc5672"/>
      <w:r>
        <w:rPr>
          <w:rFonts w:hint="eastAsia" w:ascii="宋体" w:hAnsi="宋体" w:cs="Courier New"/>
          <w:sz w:val="24"/>
          <w:lang w:val="en-US" w:eastAsia="zh-CN"/>
        </w:rPr>
        <w:t>地    址：</w:t>
      </w:r>
      <w:bookmarkEnd w:id="11"/>
      <w:r>
        <w:rPr>
          <w:rFonts w:hint="eastAsia" w:ascii="宋体" w:hAnsi="宋体" w:cs="Courier New"/>
          <w:sz w:val="24"/>
          <w:lang w:val="en-US" w:eastAsia="zh-CN"/>
        </w:rPr>
        <w:t xml:space="preserve">银川市文萃路教学园区   </w:t>
      </w:r>
    </w:p>
    <w:p>
      <w:pPr>
        <w:spacing w:line="360" w:lineRule="auto"/>
        <w:ind w:firstLine="480" w:firstLineChars="200"/>
        <w:rPr>
          <w:rFonts w:hint="eastAsia" w:ascii="宋体" w:hAnsi="宋体" w:cs="Courier New"/>
          <w:sz w:val="24"/>
          <w:lang w:val="en-US" w:eastAsia="zh-CN"/>
        </w:rPr>
      </w:pPr>
      <w:bookmarkStart w:id="12" w:name="_Toc3150"/>
      <w:r>
        <w:rPr>
          <w:rFonts w:hint="eastAsia" w:ascii="宋体" w:hAnsi="宋体" w:cs="Courier New"/>
          <w:sz w:val="24"/>
          <w:lang w:val="en-US" w:eastAsia="zh-CN"/>
        </w:rPr>
        <w:t>联 系 人: 李晓玉       电  话：0951-</w:t>
      </w:r>
      <w:bookmarkEnd w:id="12"/>
      <w:r>
        <w:rPr>
          <w:rFonts w:hint="eastAsia" w:ascii="宋体" w:hAnsi="宋体" w:cs="Courier New"/>
          <w:sz w:val="24"/>
          <w:lang w:val="en-US" w:eastAsia="zh-CN"/>
        </w:rPr>
        <w:t xml:space="preserve">2135089   </w:t>
      </w:r>
    </w:p>
    <w:p>
      <w:pPr>
        <w:spacing w:line="360" w:lineRule="auto"/>
        <w:ind w:firstLine="480" w:firstLineChars="200"/>
        <w:rPr>
          <w:rFonts w:hint="eastAsia" w:ascii="宋体" w:hAnsi="宋体" w:cs="Courier New"/>
          <w:sz w:val="24"/>
        </w:rPr>
      </w:pPr>
      <w:r>
        <w:rPr>
          <w:rFonts w:hint="eastAsia" w:ascii="宋体" w:hAnsi="宋体" w:cs="Courier New"/>
          <w:sz w:val="24"/>
        </w:rPr>
        <w:t xml:space="preserve">  </w:t>
      </w: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center"/>
        <w:rPr>
          <w:rFonts w:hint="eastAsia" w:hAnsi="宋体"/>
          <w:b/>
          <w:sz w:val="36"/>
          <w:szCs w:val="36"/>
        </w:rPr>
      </w:pPr>
    </w:p>
    <w:p>
      <w:pPr>
        <w:pStyle w:val="9"/>
        <w:spacing w:line="360" w:lineRule="auto"/>
        <w:jc w:val="both"/>
        <w:rPr>
          <w:rFonts w:hint="eastAsia" w:hAnsi="宋体"/>
          <w:b/>
          <w:sz w:val="36"/>
          <w:szCs w:val="36"/>
        </w:rPr>
      </w:pPr>
    </w:p>
    <w:p>
      <w:pPr>
        <w:pStyle w:val="9"/>
        <w:spacing w:line="360" w:lineRule="auto"/>
        <w:jc w:val="center"/>
        <w:outlineLvl w:val="0"/>
        <w:rPr>
          <w:rFonts w:hint="eastAsia" w:hAnsi="宋体"/>
          <w:b/>
          <w:sz w:val="36"/>
          <w:szCs w:val="36"/>
        </w:rPr>
      </w:pPr>
      <w:bookmarkStart w:id="13" w:name="_Toc31511"/>
      <w:bookmarkStart w:id="14" w:name="_Toc6439"/>
      <w:bookmarkStart w:id="15" w:name="_Toc3839"/>
      <w:bookmarkStart w:id="16" w:name="_Toc314"/>
      <w:bookmarkStart w:id="17" w:name="_Toc26455"/>
      <w:r>
        <w:rPr>
          <w:rFonts w:hint="eastAsia" w:hAnsi="宋体"/>
          <w:b/>
          <w:sz w:val="36"/>
          <w:szCs w:val="36"/>
          <w:lang w:val="en-US" w:eastAsia="zh-CN"/>
        </w:rPr>
        <w:t xml:space="preserve">第二章 </w:t>
      </w:r>
      <w:r>
        <w:rPr>
          <w:rFonts w:hint="eastAsia" w:hAnsi="宋体"/>
          <w:b/>
          <w:sz w:val="36"/>
          <w:szCs w:val="36"/>
        </w:rPr>
        <w:t>磋商须知前附表</w:t>
      </w:r>
      <w:bookmarkEnd w:id="13"/>
      <w:bookmarkEnd w:id="14"/>
      <w:bookmarkEnd w:id="15"/>
      <w:bookmarkEnd w:id="16"/>
      <w:bookmarkEnd w:id="17"/>
    </w:p>
    <w:tbl>
      <w:tblPr>
        <w:tblStyle w:val="15"/>
        <w:tblW w:w="99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058"/>
        <w:gridCol w:w="72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cs="宋体"/>
                <w:szCs w:val="21"/>
              </w:rPr>
            </w:pPr>
            <w:r>
              <w:rPr>
                <w:rFonts w:hint="eastAsia" w:ascii="宋体" w:hAnsi="宋体" w:cs="宋体"/>
                <w:szCs w:val="21"/>
              </w:rPr>
              <w:t>项号</w:t>
            </w:r>
          </w:p>
        </w:tc>
        <w:tc>
          <w:tcPr>
            <w:tcW w:w="9295" w:type="dxa"/>
            <w:gridSpan w:val="2"/>
            <w:noWrap w:val="0"/>
            <w:vAlign w:val="center"/>
          </w:tcPr>
          <w:p>
            <w:pPr>
              <w:spacing w:line="400" w:lineRule="exact"/>
              <w:jc w:val="center"/>
              <w:rPr>
                <w:rFonts w:hint="eastAsia" w:ascii="宋体" w:hAnsi="宋体" w:cs="宋体"/>
                <w:szCs w:val="21"/>
              </w:rPr>
            </w:pPr>
            <w:r>
              <w:rPr>
                <w:rFonts w:hint="eastAsia" w:ascii="宋体" w:hAnsi="宋体" w:cs="宋体"/>
                <w:szCs w:val="21"/>
              </w:rPr>
              <w:t>内  容  规  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restart"/>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项目名称</w:t>
            </w:r>
          </w:p>
        </w:tc>
        <w:tc>
          <w:tcPr>
            <w:tcW w:w="7237" w:type="dxa"/>
            <w:noWrap w:val="0"/>
            <w:vAlign w:val="center"/>
          </w:tcPr>
          <w:p>
            <w:pPr>
              <w:spacing w:line="400" w:lineRule="exact"/>
              <w:rPr>
                <w:rFonts w:hint="eastAsia" w:ascii="宋体" w:hAnsi="宋体" w:cs="宋体"/>
                <w:color w:val="auto"/>
                <w:szCs w:val="21"/>
              </w:rPr>
            </w:pPr>
            <w:r>
              <w:rPr>
                <w:rFonts w:hint="eastAsia" w:ascii="宋体" w:hAnsi="宋体" w:cs="宋体"/>
                <w:szCs w:val="21"/>
                <w:lang w:eastAsia="zh-CN"/>
              </w:rPr>
              <w:t>宁夏职业技术学院生命科技学院农产品流通追溯中心装修项目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continue"/>
            <w:noWrap w:val="0"/>
            <w:vAlign w:val="center"/>
          </w:tcPr>
          <w:p>
            <w:pPr>
              <w:spacing w:line="400" w:lineRule="exact"/>
              <w:jc w:val="center"/>
              <w:rPr>
                <w:rFonts w:hint="eastAsia" w:ascii="宋体" w:hAnsi="宋体" w:cs="宋体"/>
                <w:szCs w:val="21"/>
              </w:rPr>
            </w:pP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采 购 人</w:t>
            </w:r>
          </w:p>
        </w:tc>
        <w:tc>
          <w:tcPr>
            <w:tcW w:w="7237" w:type="dxa"/>
            <w:noWrap w:val="0"/>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采 购 人：宁夏职业技术学院   </w:t>
            </w:r>
          </w:p>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地    址：银川市文萃路教学园区   </w:t>
            </w:r>
          </w:p>
          <w:p>
            <w:pPr>
              <w:spacing w:line="400" w:lineRule="exact"/>
              <w:rPr>
                <w:rFonts w:hint="eastAsia" w:ascii="宋体" w:hAnsi="宋体" w:cs="宋体"/>
                <w:color w:val="auto"/>
                <w:szCs w:val="21"/>
              </w:rPr>
            </w:pPr>
            <w:r>
              <w:rPr>
                <w:rFonts w:hint="eastAsia" w:ascii="宋体" w:hAnsi="宋体" w:cs="宋体"/>
                <w:szCs w:val="21"/>
                <w:lang w:val="en-US" w:eastAsia="zh-CN"/>
              </w:rPr>
              <w:t xml:space="preserve">联 系 人: 李晓玉       电  话：0951-2135089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continue"/>
            <w:noWrap w:val="0"/>
            <w:vAlign w:val="center"/>
          </w:tcPr>
          <w:p>
            <w:pPr>
              <w:spacing w:line="400" w:lineRule="exact"/>
              <w:jc w:val="center"/>
              <w:rPr>
                <w:rFonts w:hint="eastAsia" w:ascii="宋体" w:hAnsi="宋体" w:cs="宋体"/>
                <w:szCs w:val="21"/>
              </w:rPr>
            </w:pP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建设地点</w:t>
            </w:r>
          </w:p>
        </w:tc>
        <w:tc>
          <w:tcPr>
            <w:tcW w:w="7237" w:type="dxa"/>
            <w:noWrap w:val="0"/>
            <w:vAlign w:val="center"/>
          </w:tcPr>
          <w:p>
            <w:pPr>
              <w:spacing w:line="400" w:lineRule="exact"/>
              <w:rPr>
                <w:rFonts w:hint="eastAsia" w:ascii="宋体" w:hAnsi="宋体" w:cs="宋体"/>
                <w:szCs w:val="21"/>
              </w:rPr>
            </w:pPr>
            <w:r>
              <w:rPr>
                <w:rFonts w:hint="eastAsia" w:ascii="宋体" w:hAnsi="宋体" w:cs="宋体"/>
                <w:szCs w:val="21"/>
              </w:rPr>
              <w:t>宁夏职业技术学院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continue"/>
            <w:noWrap w:val="0"/>
            <w:vAlign w:val="center"/>
          </w:tcPr>
          <w:p>
            <w:pPr>
              <w:spacing w:line="400" w:lineRule="exact"/>
              <w:jc w:val="center"/>
              <w:rPr>
                <w:rFonts w:hint="eastAsia" w:ascii="宋体" w:hAnsi="宋体" w:cs="宋体"/>
                <w:szCs w:val="21"/>
              </w:rPr>
            </w:pP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承包方式</w:t>
            </w:r>
          </w:p>
        </w:tc>
        <w:tc>
          <w:tcPr>
            <w:tcW w:w="7237" w:type="dxa"/>
            <w:noWrap w:val="0"/>
            <w:vAlign w:val="center"/>
          </w:tcPr>
          <w:p>
            <w:pPr>
              <w:spacing w:line="400" w:lineRule="exact"/>
              <w:rPr>
                <w:rFonts w:hint="eastAsia" w:ascii="宋体" w:hAnsi="宋体" w:cs="宋体"/>
                <w:szCs w:val="21"/>
              </w:rPr>
            </w:pPr>
            <w:r>
              <w:rPr>
                <w:rFonts w:hint="eastAsia" w:ascii="宋体" w:hAnsi="宋体" w:cs="宋体"/>
                <w:szCs w:val="21"/>
              </w:rPr>
              <w:t>包工包料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continue"/>
            <w:noWrap w:val="0"/>
            <w:vAlign w:val="center"/>
          </w:tcPr>
          <w:p>
            <w:pPr>
              <w:spacing w:line="400" w:lineRule="exact"/>
              <w:jc w:val="center"/>
              <w:rPr>
                <w:rFonts w:hint="eastAsia" w:ascii="宋体" w:hAnsi="宋体" w:cs="宋体"/>
                <w:szCs w:val="21"/>
              </w:rPr>
            </w:pP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招标范围</w:t>
            </w:r>
          </w:p>
        </w:tc>
        <w:tc>
          <w:tcPr>
            <w:tcW w:w="7237" w:type="dxa"/>
            <w:noWrap w:val="0"/>
            <w:vAlign w:val="center"/>
          </w:tcPr>
          <w:p>
            <w:pPr>
              <w:spacing w:line="400" w:lineRule="exact"/>
              <w:rPr>
                <w:rFonts w:hint="eastAsia" w:ascii="宋体" w:hAnsi="宋体" w:eastAsia="宋体" w:cs="宋体"/>
                <w:szCs w:val="21"/>
                <w:lang w:eastAsia="zh-CN"/>
              </w:rPr>
            </w:pPr>
            <w:r>
              <w:rPr>
                <w:rFonts w:hint="eastAsia" w:ascii="宋体" w:hAnsi="宋体" w:cs="宋体"/>
                <w:szCs w:val="21"/>
                <w:lang w:val="en-US" w:eastAsia="zh-CN"/>
              </w:rPr>
              <w:t>项目建设内容主要包括：对现代农业综合公共实训中心一楼B101，面积131㎡进行装修改造，包括电路改造、吊顶、墙面、地面、展示柜制作等。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continue"/>
            <w:noWrap w:val="0"/>
            <w:vAlign w:val="center"/>
          </w:tcPr>
          <w:p>
            <w:pPr>
              <w:spacing w:line="400" w:lineRule="exact"/>
              <w:jc w:val="center"/>
              <w:rPr>
                <w:rFonts w:hint="eastAsia" w:ascii="宋体" w:hAnsi="宋体" w:cs="宋体"/>
                <w:szCs w:val="21"/>
              </w:rPr>
            </w:pP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计划工期</w:t>
            </w:r>
          </w:p>
        </w:tc>
        <w:tc>
          <w:tcPr>
            <w:tcW w:w="7237" w:type="dxa"/>
            <w:noWrap w:val="0"/>
            <w:vAlign w:val="center"/>
          </w:tcPr>
          <w:p>
            <w:pPr>
              <w:spacing w:line="400" w:lineRule="exact"/>
              <w:rPr>
                <w:rFonts w:hint="eastAsia" w:ascii="宋体" w:hAnsi="宋体" w:cs="宋体"/>
                <w:color w:val="auto"/>
                <w:szCs w:val="21"/>
              </w:rPr>
            </w:pPr>
            <w:r>
              <w:rPr>
                <w:rFonts w:hint="eastAsia" w:ascii="宋体" w:hAnsi="宋体" w:cs="宋体"/>
                <w:color w:val="FF0000"/>
                <w:szCs w:val="21"/>
              </w:rPr>
              <w:t>自合同签订之日起30日历天内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continue"/>
            <w:noWrap w:val="0"/>
            <w:vAlign w:val="center"/>
          </w:tcPr>
          <w:p>
            <w:pPr>
              <w:spacing w:line="400" w:lineRule="exact"/>
              <w:jc w:val="center"/>
              <w:rPr>
                <w:rFonts w:hint="eastAsia" w:ascii="宋体" w:hAnsi="宋体" w:cs="宋体"/>
                <w:szCs w:val="21"/>
              </w:rPr>
            </w:pP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质量要求</w:t>
            </w:r>
          </w:p>
        </w:tc>
        <w:tc>
          <w:tcPr>
            <w:tcW w:w="7237" w:type="dxa"/>
            <w:noWrap w:val="0"/>
            <w:vAlign w:val="center"/>
          </w:tcPr>
          <w:p>
            <w:pPr>
              <w:spacing w:line="400" w:lineRule="exact"/>
              <w:rPr>
                <w:rFonts w:hint="eastAsia" w:ascii="宋体" w:hAnsi="宋体" w:cs="宋体"/>
                <w:color w:val="auto"/>
                <w:szCs w:val="21"/>
              </w:rPr>
            </w:pPr>
            <w:r>
              <w:rPr>
                <w:rFonts w:hint="eastAsia" w:ascii="宋体" w:hAnsi="宋体" w:cs="宋体"/>
                <w:color w:val="auto"/>
                <w:szCs w:val="21"/>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continue"/>
            <w:noWrap w:val="0"/>
            <w:vAlign w:val="center"/>
          </w:tcPr>
          <w:p>
            <w:pPr>
              <w:spacing w:line="400" w:lineRule="exact"/>
              <w:jc w:val="center"/>
              <w:rPr>
                <w:rFonts w:hint="eastAsia" w:ascii="宋体" w:hAnsi="宋体" w:cs="宋体"/>
                <w:szCs w:val="21"/>
              </w:rPr>
            </w:pP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招标方式</w:t>
            </w:r>
          </w:p>
        </w:tc>
        <w:tc>
          <w:tcPr>
            <w:tcW w:w="7237" w:type="dxa"/>
            <w:noWrap w:val="0"/>
            <w:vAlign w:val="center"/>
          </w:tcPr>
          <w:p>
            <w:pPr>
              <w:spacing w:line="400" w:lineRule="exact"/>
              <w:rPr>
                <w:rFonts w:hint="eastAsia" w:ascii="宋体" w:hAnsi="宋体" w:cs="宋体"/>
                <w:szCs w:val="21"/>
              </w:rPr>
            </w:pPr>
            <w:r>
              <w:rPr>
                <w:rFonts w:hint="eastAsia" w:ascii="宋体" w:hAnsi="宋体" w:cs="宋体"/>
                <w:szCs w:val="21"/>
              </w:rPr>
              <w:t>竞争性磋商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cs="宋体"/>
                <w:szCs w:val="21"/>
              </w:rPr>
            </w:pPr>
            <w:r>
              <w:rPr>
                <w:rFonts w:hint="eastAsia" w:ascii="宋体" w:hAnsi="宋体" w:cs="宋体"/>
                <w:szCs w:val="21"/>
              </w:rPr>
              <w:t>2</w:t>
            </w: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计价方式</w:t>
            </w:r>
          </w:p>
        </w:tc>
        <w:tc>
          <w:tcPr>
            <w:tcW w:w="7237" w:type="dxa"/>
            <w:noWrap w:val="0"/>
            <w:vAlign w:val="center"/>
          </w:tcPr>
          <w:p>
            <w:pPr>
              <w:spacing w:line="400" w:lineRule="exact"/>
              <w:rPr>
                <w:rFonts w:hint="eastAsia" w:ascii="宋体" w:hAnsi="宋体" w:cs="宋体"/>
                <w:szCs w:val="21"/>
              </w:rPr>
            </w:pPr>
            <w:r>
              <w:rPr>
                <w:rFonts w:hint="eastAsia" w:ascii="宋体" w:hAnsi="宋体" w:cs="宋体"/>
                <w:szCs w:val="21"/>
              </w:rPr>
              <w:t>根据磋商文件自行报价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资金来源</w:t>
            </w:r>
          </w:p>
        </w:tc>
        <w:tc>
          <w:tcPr>
            <w:tcW w:w="7237" w:type="dxa"/>
            <w:noWrap w:val="0"/>
            <w:vAlign w:val="center"/>
          </w:tcPr>
          <w:p>
            <w:pPr>
              <w:spacing w:line="400" w:lineRule="exact"/>
              <w:rPr>
                <w:rFonts w:hint="eastAsia" w:ascii="宋体" w:hAnsi="宋体" w:cs="宋体"/>
                <w:szCs w:val="21"/>
              </w:rPr>
            </w:pPr>
            <w:r>
              <w:rPr>
                <w:rFonts w:hint="eastAsia" w:ascii="宋体" w:hAnsi="宋体" w:cs="宋体"/>
                <w:szCs w:val="21"/>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预算金额</w:t>
            </w:r>
          </w:p>
        </w:tc>
        <w:tc>
          <w:tcPr>
            <w:tcW w:w="7237" w:type="dxa"/>
            <w:noWrap w:val="0"/>
            <w:vAlign w:val="center"/>
          </w:tcPr>
          <w:p>
            <w:pPr>
              <w:spacing w:line="400" w:lineRule="exact"/>
              <w:rPr>
                <w:rFonts w:hint="default" w:ascii="宋体" w:hAnsi="宋体" w:cs="宋体"/>
                <w:szCs w:val="21"/>
                <w:lang w:val="en-US" w:eastAsia="zh-CN"/>
              </w:rPr>
            </w:pPr>
            <w:r>
              <w:rPr>
                <w:rFonts w:hint="eastAsia" w:ascii="宋体" w:hAnsi="宋体" w:cs="宋体"/>
                <w:szCs w:val="21"/>
                <w:lang w:val="en-US" w:eastAsia="zh-CN"/>
              </w:rPr>
              <w:t>196,345.4元（大写：壹拾玖万陆仟叁佰肆拾伍元肆角元）</w:t>
            </w:r>
          </w:p>
          <w:p>
            <w:pPr>
              <w:spacing w:line="400" w:lineRule="exact"/>
              <w:rPr>
                <w:rFonts w:hint="eastAsia" w:ascii="宋体" w:hAnsi="宋体" w:cs="宋体"/>
                <w:szCs w:val="21"/>
              </w:rPr>
            </w:pPr>
            <w:r>
              <w:rPr>
                <w:rFonts w:hint="eastAsia" w:ascii="宋体" w:hAnsi="宋体" w:cs="宋体"/>
                <w:b/>
                <w:bCs/>
                <w:szCs w:val="21"/>
              </w:rPr>
              <w:t>注：供应商应有明确报价，超过总预算或者无报价投标的，投标无效！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outlineLvl w:val="1"/>
              <w:rPr>
                <w:rFonts w:hint="eastAsia" w:ascii="宋体" w:hAnsi="宋体" w:cs="宋体"/>
                <w:szCs w:val="21"/>
              </w:rPr>
            </w:pPr>
            <w:bookmarkStart w:id="18" w:name="_Toc31089"/>
            <w:bookmarkStart w:id="19" w:name="_Toc2774"/>
            <w:bookmarkStart w:id="20" w:name="_Toc20264"/>
            <w:bookmarkStart w:id="21" w:name="_Toc13557"/>
            <w:bookmarkStart w:id="22" w:name="_Toc29380"/>
            <w:bookmarkStart w:id="23" w:name="_Toc1492"/>
            <w:bookmarkStart w:id="24" w:name="_Toc22188"/>
            <w:bookmarkStart w:id="25" w:name="_Toc24100"/>
            <w:bookmarkStart w:id="26" w:name="_Toc14775"/>
            <w:r>
              <w:rPr>
                <w:rFonts w:hint="eastAsia" w:ascii="宋体" w:hAnsi="宋体" w:cs="宋体"/>
                <w:szCs w:val="21"/>
              </w:rPr>
              <w:t>5</w:t>
            </w:r>
            <w:bookmarkEnd w:id="18"/>
            <w:bookmarkEnd w:id="19"/>
            <w:bookmarkEnd w:id="20"/>
            <w:bookmarkEnd w:id="21"/>
            <w:bookmarkEnd w:id="22"/>
            <w:bookmarkEnd w:id="23"/>
            <w:bookmarkEnd w:id="24"/>
            <w:bookmarkEnd w:id="25"/>
            <w:bookmarkEnd w:id="26"/>
          </w:p>
        </w:tc>
        <w:tc>
          <w:tcPr>
            <w:tcW w:w="2058" w:type="dxa"/>
            <w:noWrap w:val="0"/>
            <w:vAlign w:val="center"/>
          </w:tcPr>
          <w:p>
            <w:pPr>
              <w:spacing w:line="400" w:lineRule="exact"/>
              <w:jc w:val="center"/>
              <w:outlineLvl w:val="1"/>
              <w:rPr>
                <w:rFonts w:hint="eastAsia" w:ascii="宋体" w:hAnsi="宋体" w:cs="宋体"/>
                <w:szCs w:val="21"/>
              </w:rPr>
            </w:pPr>
            <w:bookmarkStart w:id="27" w:name="_Toc15985"/>
            <w:r>
              <w:rPr>
                <w:rFonts w:hint="eastAsia" w:ascii="宋体" w:hAnsi="宋体" w:cs="宋体"/>
                <w:szCs w:val="21"/>
              </w:rPr>
              <w:t xml:space="preserve"> </w:t>
            </w:r>
            <w:bookmarkStart w:id="28" w:name="_Toc11301"/>
            <w:bookmarkStart w:id="29" w:name="_Toc27992"/>
            <w:bookmarkStart w:id="30" w:name="_Toc27514"/>
            <w:bookmarkStart w:id="31" w:name="_Toc3841"/>
            <w:bookmarkStart w:id="32" w:name="_Toc12022"/>
            <w:bookmarkStart w:id="33" w:name="_Toc17347"/>
            <w:bookmarkStart w:id="34" w:name="_Toc30935"/>
            <w:bookmarkStart w:id="35" w:name="_Toc17978"/>
            <w:r>
              <w:rPr>
                <w:rFonts w:hint="eastAsia" w:ascii="宋体" w:hAnsi="宋体" w:cs="宋体"/>
                <w:szCs w:val="21"/>
              </w:rPr>
              <w:t>供应商资质要求</w:t>
            </w:r>
            <w:bookmarkEnd w:id="27"/>
            <w:bookmarkEnd w:id="28"/>
            <w:bookmarkEnd w:id="29"/>
            <w:bookmarkEnd w:id="30"/>
            <w:bookmarkEnd w:id="31"/>
            <w:bookmarkEnd w:id="32"/>
            <w:bookmarkEnd w:id="33"/>
            <w:bookmarkEnd w:id="34"/>
            <w:bookmarkEnd w:id="35"/>
          </w:p>
          <w:p>
            <w:pPr>
              <w:spacing w:line="400" w:lineRule="exact"/>
              <w:jc w:val="center"/>
              <w:outlineLvl w:val="1"/>
              <w:rPr>
                <w:rFonts w:hint="eastAsia" w:ascii="宋体" w:hAnsi="宋体" w:cs="宋体"/>
                <w:szCs w:val="21"/>
              </w:rPr>
            </w:pPr>
            <w:bookmarkStart w:id="36" w:name="_Toc15718"/>
            <w:bookmarkStart w:id="37" w:name="_Toc5697"/>
            <w:bookmarkStart w:id="38" w:name="_Toc8383"/>
            <w:r>
              <w:rPr>
                <w:rFonts w:hint="eastAsia" w:ascii="宋体" w:hAnsi="宋体" w:cs="宋体"/>
                <w:szCs w:val="21"/>
              </w:rPr>
              <w:t>（资格审查要求）</w:t>
            </w:r>
            <w:bookmarkEnd w:id="36"/>
            <w:bookmarkEnd w:id="37"/>
            <w:bookmarkEnd w:id="38"/>
          </w:p>
        </w:tc>
        <w:tc>
          <w:tcPr>
            <w:tcW w:w="7237" w:type="dxa"/>
            <w:noWrap w:val="0"/>
            <w:vAlign w:val="top"/>
          </w:tcPr>
          <w:p>
            <w:pPr>
              <w:spacing w:line="400" w:lineRule="exact"/>
              <w:rPr>
                <w:rFonts w:hint="eastAsia" w:ascii="宋体" w:hAnsi="宋体" w:cs="宋体"/>
                <w:szCs w:val="21"/>
                <w:lang w:val="en-US" w:eastAsia="zh-CN"/>
              </w:rPr>
            </w:pPr>
            <w:bookmarkStart w:id="39" w:name="_Toc21564"/>
            <w:bookmarkStart w:id="40" w:name="_Toc21132"/>
            <w:bookmarkStart w:id="41" w:name="_Toc17298"/>
            <w:bookmarkStart w:id="42" w:name="_Toc23485"/>
            <w:bookmarkStart w:id="43" w:name="_Toc2042"/>
            <w:bookmarkStart w:id="44" w:name="_Toc28807"/>
            <w:bookmarkStart w:id="45" w:name="_Toc20148"/>
            <w:r>
              <w:rPr>
                <w:rFonts w:hint="eastAsia" w:ascii="宋体" w:hAnsi="宋体" w:cs="宋体"/>
                <w:szCs w:val="21"/>
                <w:lang w:val="en-US" w:eastAsia="zh-CN"/>
              </w:rPr>
              <w:t>1.法定代表人授权委托书及被授权人身份证；（法人直接参与投标可不提供法人授权委托书，但需提供法人身份证明文件）（原件）</w:t>
            </w:r>
          </w:p>
          <w:p>
            <w:pPr>
              <w:spacing w:line="400" w:lineRule="exact"/>
              <w:rPr>
                <w:rFonts w:hint="eastAsia" w:ascii="宋体" w:hAnsi="宋体" w:cs="宋体"/>
                <w:szCs w:val="21"/>
                <w:lang w:val="en-US" w:eastAsia="zh-CN"/>
              </w:rPr>
            </w:pPr>
            <w:r>
              <w:rPr>
                <w:rFonts w:hint="eastAsia" w:ascii="宋体" w:hAnsi="宋体" w:cs="宋体"/>
                <w:szCs w:val="21"/>
                <w:lang w:val="en-US" w:eastAsia="zh-CN"/>
              </w:rPr>
              <w:t>2.企业有效的营业执照、组织机构代码证、税务登记证（或三证合一的营业执照）；（原件）</w:t>
            </w:r>
          </w:p>
          <w:p>
            <w:pPr>
              <w:spacing w:line="400" w:lineRule="exact"/>
              <w:rPr>
                <w:rFonts w:hint="eastAsia" w:ascii="宋体" w:hAnsi="宋体" w:cs="宋体"/>
                <w:szCs w:val="21"/>
                <w:lang w:val="en-US" w:eastAsia="zh-CN"/>
              </w:rPr>
            </w:pPr>
            <w:r>
              <w:rPr>
                <w:rFonts w:hint="eastAsia" w:ascii="宋体" w:hAnsi="宋体" w:cs="宋体"/>
                <w:szCs w:val="21"/>
                <w:lang w:val="en-US" w:eastAsia="zh-CN"/>
              </w:rPr>
              <w:t>3.近期社会保障资金缴纳记录及依法纳税缴纳记录；（提供近半年内任意一个月的缴纳记录）；（如依法免税或不需要缴纳社会保障资金的，应提供相应文件予以证明）（复印件加盖投标单位公章）</w:t>
            </w:r>
          </w:p>
          <w:p>
            <w:pPr>
              <w:spacing w:line="400" w:lineRule="exact"/>
              <w:rPr>
                <w:rFonts w:hint="eastAsia" w:ascii="宋体" w:hAnsi="宋体" w:cs="宋体"/>
                <w:szCs w:val="21"/>
                <w:lang w:val="en-US" w:eastAsia="zh-CN"/>
              </w:rPr>
            </w:pPr>
            <w:r>
              <w:rPr>
                <w:rFonts w:hint="eastAsia" w:ascii="宋体" w:hAnsi="宋体" w:cs="宋体"/>
                <w:szCs w:val="21"/>
                <w:lang w:val="en-US" w:eastAsia="zh-CN"/>
              </w:rPr>
              <w:t>4.未被列入“信用中国”网站(www.creditchina.gov.cn)、中国政府采购网(www.ccgp.gov.cn)渠道信用记录失信被执行人、重大税收违法案件当事人名单、政府采购严重违法失信行为记录名单的投标人；（提供以上两个网站查询页面截图并加盖公章，查询时间为投标截止时间5日内，页面中的处罚日期不允许设置起始时间）；（复印件加盖投标单位公章）</w:t>
            </w:r>
          </w:p>
          <w:p>
            <w:pPr>
              <w:numPr>
                <w:ilvl w:val="0"/>
                <w:numId w:val="0"/>
              </w:numPr>
              <w:spacing w:line="360" w:lineRule="auto"/>
              <w:outlineLvl w:val="1"/>
              <w:rPr>
                <w:rFonts w:hint="eastAsia" w:ascii="宋体" w:hAnsi="宋体" w:cs="宋体"/>
                <w:szCs w:val="21"/>
              </w:rPr>
            </w:pPr>
            <w:bookmarkStart w:id="46" w:name="_Toc16694"/>
            <w:r>
              <w:rPr>
                <w:rFonts w:hint="eastAsia" w:ascii="宋体" w:hAnsi="宋体" w:cs="宋体"/>
                <w:b/>
                <w:szCs w:val="21"/>
                <w:shd w:val="clear" w:color="auto" w:fill="FFFFFF"/>
              </w:rPr>
              <w:t>注：请将上述文件复印件加盖本单位公章附于响应文件内，要求原件的，现场应携带原件，不按要求提供的资格审查不予通过。</w:t>
            </w:r>
            <w:bookmarkEnd w:id="39"/>
            <w:bookmarkEnd w:id="40"/>
            <w:bookmarkEnd w:id="41"/>
            <w:bookmarkEnd w:id="42"/>
            <w:bookmarkEnd w:id="43"/>
            <w:r>
              <w:rPr>
                <w:rFonts w:hint="eastAsia" w:ascii="宋体" w:hAnsi="宋体" w:cs="宋体"/>
                <w:b/>
                <w:bCs/>
                <w:kern w:val="0"/>
              </w:rPr>
              <w:t>供应商应保证所提供的材料内容清晰可辩，由于提供材料内容不清晰所造成的后果由投标供应商自行承担。</w:t>
            </w:r>
            <w:bookmarkEnd w:id="44"/>
            <w:bookmarkEnd w:id="45"/>
            <w:bookmarkEnd w:id="4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磋商文件费</w:t>
            </w:r>
          </w:p>
        </w:tc>
        <w:tc>
          <w:tcPr>
            <w:tcW w:w="7237" w:type="dxa"/>
            <w:noWrap w:val="0"/>
            <w:vAlign w:val="center"/>
          </w:tcPr>
          <w:p>
            <w:pPr>
              <w:spacing w:line="400" w:lineRule="exact"/>
              <w:rPr>
                <w:rFonts w:hint="eastAsia" w:ascii="宋体" w:hAnsi="宋体" w:cs="宋体"/>
                <w:szCs w:val="21"/>
              </w:rPr>
            </w:pPr>
            <w:r>
              <w:rPr>
                <w:rFonts w:hint="eastAsia" w:ascii="宋体" w:hAnsi="宋体" w:cs="宋体"/>
                <w:szCs w:val="21"/>
              </w:rPr>
              <w:t>磋商文件费：不收取。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响应文件组成</w:t>
            </w:r>
          </w:p>
        </w:tc>
        <w:tc>
          <w:tcPr>
            <w:tcW w:w="7237" w:type="dxa"/>
            <w:noWrap w:val="0"/>
            <w:vAlign w:val="center"/>
          </w:tcPr>
          <w:p>
            <w:pPr>
              <w:pStyle w:val="19"/>
              <w:keepNext w:val="0"/>
              <w:keepLines w:val="0"/>
              <w:spacing w:line="360" w:lineRule="exact"/>
              <w:rPr>
                <w:rFonts w:hint="eastAsia" w:cs="宋体"/>
                <w:color w:val="auto"/>
                <w:szCs w:val="21"/>
              </w:rPr>
            </w:pPr>
            <w:bookmarkStart w:id="47" w:name="_Toc17728"/>
            <w:bookmarkStart w:id="48" w:name="_Toc11967"/>
            <w:bookmarkStart w:id="49" w:name="_Toc32561"/>
            <w:r>
              <w:rPr>
                <w:rFonts w:hint="eastAsia" w:cs="宋体"/>
                <w:color w:val="auto"/>
                <w:szCs w:val="21"/>
              </w:rPr>
              <w:t>1、响应文件正本1份；</w:t>
            </w:r>
            <w:bookmarkEnd w:id="47"/>
            <w:bookmarkEnd w:id="48"/>
            <w:bookmarkEnd w:id="49"/>
          </w:p>
          <w:p>
            <w:pPr>
              <w:pStyle w:val="19"/>
              <w:keepNext w:val="0"/>
              <w:keepLines w:val="0"/>
              <w:spacing w:line="360" w:lineRule="exact"/>
              <w:rPr>
                <w:rFonts w:hint="eastAsia" w:cs="宋体"/>
                <w:color w:val="auto"/>
                <w:szCs w:val="21"/>
              </w:rPr>
            </w:pPr>
            <w:bookmarkStart w:id="50" w:name="_Toc6985"/>
            <w:bookmarkStart w:id="51" w:name="_Toc22412"/>
            <w:bookmarkStart w:id="52" w:name="_Toc6349"/>
            <w:r>
              <w:rPr>
                <w:rFonts w:hint="eastAsia" w:cs="宋体"/>
                <w:color w:val="auto"/>
                <w:szCs w:val="21"/>
              </w:rPr>
              <w:t>2、响应文件副本</w:t>
            </w:r>
            <w:r>
              <w:rPr>
                <w:rFonts w:hint="eastAsia" w:cs="宋体"/>
                <w:color w:val="auto"/>
                <w:szCs w:val="21"/>
                <w:lang w:val="en-US" w:eastAsia="zh-CN"/>
              </w:rPr>
              <w:t>3</w:t>
            </w:r>
            <w:r>
              <w:rPr>
                <w:rFonts w:hint="eastAsia" w:cs="宋体"/>
                <w:color w:val="auto"/>
                <w:szCs w:val="21"/>
              </w:rPr>
              <w:t>份；</w:t>
            </w:r>
            <w:bookmarkEnd w:id="50"/>
            <w:bookmarkEnd w:id="51"/>
            <w:bookmarkEnd w:id="52"/>
          </w:p>
          <w:p>
            <w:pPr>
              <w:pStyle w:val="19"/>
              <w:keepNext w:val="0"/>
              <w:keepLines w:val="0"/>
              <w:spacing w:line="360" w:lineRule="exact"/>
              <w:rPr>
                <w:rFonts w:hint="eastAsia" w:cs="宋体"/>
                <w:color w:val="auto"/>
                <w:szCs w:val="21"/>
              </w:rPr>
            </w:pPr>
            <w:bookmarkStart w:id="53" w:name="_Toc1270"/>
            <w:bookmarkStart w:id="54" w:name="_Toc23933"/>
            <w:bookmarkStart w:id="55" w:name="_Toc31806"/>
            <w:r>
              <w:rPr>
                <w:rFonts w:hint="eastAsia" w:cs="宋体"/>
                <w:color w:val="auto"/>
                <w:szCs w:val="21"/>
              </w:rPr>
              <w:t>3、资格审查材料1份；</w:t>
            </w:r>
            <w:bookmarkEnd w:id="53"/>
            <w:bookmarkEnd w:id="54"/>
            <w:bookmarkEnd w:id="55"/>
          </w:p>
          <w:p>
            <w:pPr>
              <w:spacing w:line="400" w:lineRule="exact"/>
              <w:rPr>
                <w:rFonts w:hint="eastAsia" w:ascii="宋体" w:hAnsi="宋体" w:cs="宋体"/>
                <w:color w:val="auto"/>
                <w:szCs w:val="21"/>
              </w:rPr>
            </w:pPr>
            <w:r>
              <w:rPr>
                <w:rFonts w:hint="eastAsia" w:hAnsi="宋体"/>
                <w:szCs w:val="21"/>
              </w:rPr>
              <w:t>为了资料审核及成果文件备案存档的需要，响应文件采用胶装 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restart"/>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2058" w:type="dxa"/>
            <w:vMerge w:val="restart"/>
            <w:noWrap w:val="0"/>
            <w:vAlign w:val="center"/>
          </w:tcPr>
          <w:p>
            <w:pPr>
              <w:spacing w:line="400" w:lineRule="exact"/>
              <w:jc w:val="center"/>
              <w:rPr>
                <w:rFonts w:hint="eastAsia" w:ascii="宋体" w:hAnsi="宋体" w:cs="宋体"/>
                <w:szCs w:val="21"/>
              </w:rPr>
            </w:pPr>
            <w:r>
              <w:rPr>
                <w:rFonts w:hint="eastAsia" w:ascii="宋体" w:hAnsi="宋体" w:cs="宋体"/>
                <w:bCs/>
                <w:szCs w:val="21"/>
              </w:rPr>
              <w:t>接受投标时间、投标截止及开标时间</w:t>
            </w:r>
            <w:r>
              <w:rPr>
                <w:rFonts w:hint="eastAsia" w:ascii="宋体" w:hAnsi="宋体" w:cs="宋体"/>
                <w:szCs w:val="21"/>
              </w:rPr>
              <w:t>、地点</w:t>
            </w:r>
          </w:p>
        </w:tc>
        <w:tc>
          <w:tcPr>
            <w:tcW w:w="7237" w:type="dxa"/>
            <w:noWrap w:val="0"/>
            <w:vAlign w:val="center"/>
          </w:tcPr>
          <w:p>
            <w:pPr>
              <w:snapToGrid w:val="0"/>
              <w:spacing w:line="360" w:lineRule="exact"/>
              <w:jc w:val="left"/>
              <w:rPr>
                <w:rFonts w:hint="eastAsia" w:ascii="宋体" w:hAnsi="宋体" w:cs="宋体"/>
                <w:bCs/>
                <w:color w:val="1552D1"/>
                <w:szCs w:val="21"/>
              </w:rPr>
            </w:pPr>
            <w:r>
              <w:rPr>
                <w:rFonts w:hint="eastAsia" w:ascii="宋体" w:hAnsi="宋体" w:cs="宋体"/>
                <w:bCs/>
                <w:color w:val="1552D1"/>
                <w:szCs w:val="21"/>
              </w:rPr>
              <w:t>1、接受投标时间：20</w:t>
            </w:r>
            <w:r>
              <w:rPr>
                <w:rFonts w:hint="eastAsia" w:ascii="宋体" w:hAnsi="宋体" w:cs="宋体"/>
                <w:bCs/>
                <w:color w:val="1552D1"/>
                <w:szCs w:val="21"/>
                <w:lang w:val="en-US" w:eastAsia="zh-CN"/>
              </w:rPr>
              <w:t>22</w:t>
            </w:r>
            <w:r>
              <w:rPr>
                <w:rFonts w:hint="eastAsia" w:ascii="宋体" w:hAnsi="宋体" w:cs="宋体"/>
                <w:bCs/>
                <w:color w:val="1552D1"/>
                <w:szCs w:val="21"/>
              </w:rPr>
              <w:t>年</w:t>
            </w:r>
            <w:r>
              <w:rPr>
                <w:rFonts w:hint="eastAsia" w:ascii="宋体" w:hAnsi="宋体" w:cs="宋体"/>
                <w:bCs/>
                <w:color w:val="1552D1"/>
                <w:szCs w:val="21"/>
                <w:lang w:val="en-US" w:eastAsia="zh-CN"/>
              </w:rPr>
              <w:t>10</w:t>
            </w:r>
            <w:r>
              <w:rPr>
                <w:rFonts w:hint="eastAsia" w:ascii="宋体" w:hAnsi="宋体" w:cs="宋体"/>
                <w:bCs/>
                <w:color w:val="1552D1"/>
                <w:szCs w:val="21"/>
              </w:rPr>
              <w:t>月</w:t>
            </w:r>
            <w:r>
              <w:rPr>
                <w:rFonts w:hint="eastAsia" w:ascii="宋体" w:hAnsi="宋体" w:cs="宋体"/>
                <w:bCs/>
                <w:color w:val="1552D1"/>
                <w:szCs w:val="21"/>
                <w:lang w:val="en-US" w:eastAsia="zh-CN"/>
              </w:rPr>
              <w:t xml:space="preserve"> 10 </w:t>
            </w:r>
            <w:r>
              <w:rPr>
                <w:rFonts w:hint="eastAsia" w:ascii="宋体" w:hAnsi="宋体" w:cs="宋体"/>
                <w:bCs/>
                <w:color w:val="1552D1"/>
                <w:szCs w:val="21"/>
              </w:rPr>
              <w:t>日上午0</w:t>
            </w:r>
            <w:r>
              <w:rPr>
                <w:rFonts w:hint="eastAsia" w:ascii="宋体" w:hAnsi="宋体" w:cs="宋体"/>
                <w:bCs/>
                <w:color w:val="1552D1"/>
                <w:szCs w:val="21"/>
                <w:lang w:val="en-US" w:eastAsia="zh-CN"/>
              </w:rPr>
              <w:t>9</w:t>
            </w:r>
            <w:r>
              <w:rPr>
                <w:rFonts w:hint="eastAsia" w:ascii="宋体" w:hAnsi="宋体" w:cs="宋体"/>
                <w:bCs/>
                <w:color w:val="1552D1"/>
                <w:szCs w:val="21"/>
              </w:rPr>
              <w:t>：00</w:t>
            </w:r>
            <w:r>
              <w:rPr>
                <w:rFonts w:hint="eastAsia" w:ascii="宋体" w:hAnsi="宋体" w:cs="宋体"/>
                <w:bCs/>
                <w:color w:val="1552D1"/>
                <w:szCs w:val="21"/>
                <w:lang w:eastAsia="zh-CN"/>
              </w:rPr>
              <w:t>—</w:t>
            </w:r>
            <w:r>
              <w:rPr>
                <w:rFonts w:hint="eastAsia" w:ascii="宋体" w:hAnsi="宋体" w:cs="宋体"/>
                <w:bCs/>
                <w:color w:val="1552D1"/>
                <w:szCs w:val="21"/>
                <w:lang w:val="en-US" w:eastAsia="zh-CN"/>
              </w:rPr>
              <w:t>2022年10月14日</w:t>
            </w:r>
            <w:r>
              <w:rPr>
                <w:rFonts w:hint="eastAsia" w:ascii="宋体" w:hAnsi="宋体" w:cs="宋体"/>
                <w:bCs/>
                <w:color w:val="1552D1"/>
                <w:szCs w:val="21"/>
              </w:rPr>
              <w:t>上午09：</w:t>
            </w:r>
            <w:r>
              <w:rPr>
                <w:rFonts w:hint="eastAsia" w:ascii="宋体" w:hAnsi="宋体" w:cs="宋体"/>
                <w:bCs/>
                <w:color w:val="1552D1"/>
                <w:szCs w:val="21"/>
                <w:lang w:val="en-US" w:eastAsia="zh-CN"/>
              </w:rPr>
              <w:t>30</w:t>
            </w:r>
            <w:r>
              <w:rPr>
                <w:rFonts w:hint="eastAsia" w:ascii="宋体" w:hAnsi="宋体" w:cs="宋体"/>
                <w:bCs/>
                <w:color w:val="1552D1"/>
                <w:szCs w:val="21"/>
              </w:rPr>
              <w:t xml:space="preserve">（北京时间）。 </w:t>
            </w:r>
          </w:p>
          <w:p>
            <w:pPr>
              <w:snapToGrid w:val="0"/>
              <w:spacing w:line="360" w:lineRule="exact"/>
              <w:jc w:val="left"/>
              <w:rPr>
                <w:rFonts w:hint="eastAsia" w:ascii="宋体" w:hAnsi="宋体" w:eastAsia="宋体" w:cs="宋体"/>
                <w:color w:val="1552D1"/>
                <w:kern w:val="2"/>
                <w:sz w:val="21"/>
                <w:szCs w:val="21"/>
              </w:rPr>
            </w:pPr>
            <w:bookmarkStart w:id="56" w:name="_Toc10188"/>
            <w:bookmarkStart w:id="57" w:name="_Toc7965"/>
            <w:bookmarkStart w:id="58" w:name="_Toc73"/>
            <w:r>
              <w:rPr>
                <w:rFonts w:hint="eastAsia" w:ascii="宋体" w:hAnsi="宋体" w:cs="宋体"/>
                <w:bCs/>
                <w:color w:val="1552D1"/>
                <w:szCs w:val="21"/>
              </w:rPr>
              <w:t>2、投标截止及开标时间：20</w:t>
            </w:r>
            <w:r>
              <w:rPr>
                <w:rFonts w:hint="eastAsia" w:ascii="宋体" w:hAnsi="宋体" w:cs="宋体"/>
                <w:bCs/>
                <w:color w:val="1552D1"/>
                <w:szCs w:val="21"/>
                <w:lang w:val="en-US" w:eastAsia="zh-CN"/>
              </w:rPr>
              <w:t>22</w:t>
            </w:r>
            <w:r>
              <w:rPr>
                <w:rFonts w:hint="eastAsia" w:ascii="宋体" w:hAnsi="宋体" w:cs="宋体"/>
                <w:bCs/>
                <w:color w:val="1552D1"/>
                <w:szCs w:val="21"/>
              </w:rPr>
              <w:t>年</w:t>
            </w:r>
            <w:r>
              <w:rPr>
                <w:rFonts w:hint="eastAsia" w:ascii="宋体" w:hAnsi="宋体" w:cs="宋体"/>
                <w:bCs/>
                <w:color w:val="1552D1"/>
                <w:szCs w:val="21"/>
                <w:lang w:val="en-US" w:eastAsia="zh-CN"/>
              </w:rPr>
              <w:t>10</w:t>
            </w:r>
            <w:r>
              <w:rPr>
                <w:rFonts w:hint="eastAsia" w:ascii="宋体" w:hAnsi="宋体" w:cs="宋体"/>
                <w:bCs/>
                <w:color w:val="1552D1"/>
                <w:szCs w:val="21"/>
              </w:rPr>
              <w:t>月</w:t>
            </w:r>
            <w:r>
              <w:rPr>
                <w:rFonts w:hint="eastAsia" w:ascii="宋体" w:hAnsi="宋体" w:cs="宋体"/>
                <w:bCs/>
                <w:color w:val="1552D1"/>
                <w:szCs w:val="21"/>
                <w:lang w:val="en-US" w:eastAsia="zh-CN"/>
              </w:rPr>
              <w:t>14</w:t>
            </w:r>
            <w:r>
              <w:rPr>
                <w:rFonts w:hint="eastAsia" w:ascii="宋体" w:hAnsi="宋体" w:cs="宋体"/>
                <w:bCs/>
                <w:color w:val="1552D1"/>
                <w:szCs w:val="21"/>
              </w:rPr>
              <w:t>日上午</w:t>
            </w:r>
            <w:r>
              <w:rPr>
                <w:rFonts w:hint="eastAsia" w:ascii="宋体" w:hAnsi="宋体" w:cs="宋体"/>
                <w:bCs/>
                <w:color w:val="1552D1"/>
                <w:szCs w:val="21"/>
                <w:lang w:val="en-US" w:eastAsia="zh-CN"/>
              </w:rPr>
              <w:t>10</w:t>
            </w:r>
            <w:r>
              <w:rPr>
                <w:rFonts w:hint="eastAsia" w:ascii="宋体" w:hAnsi="宋体" w:cs="宋体"/>
                <w:bCs/>
                <w:color w:val="1552D1"/>
                <w:szCs w:val="21"/>
              </w:rPr>
              <w:t>：00（北京时间）</w:t>
            </w:r>
            <w:r>
              <w:rPr>
                <w:rFonts w:hint="eastAsia" w:ascii="宋体" w:hAnsi="宋体" w:eastAsia="宋体" w:cs="宋体"/>
                <w:color w:val="1552D1"/>
                <w:kern w:val="2"/>
                <w:sz w:val="21"/>
                <w:szCs w:val="21"/>
              </w:rPr>
              <w:t>。</w:t>
            </w:r>
            <w:bookmarkEnd w:id="56"/>
            <w:bookmarkEnd w:id="57"/>
            <w:bookmarkEnd w:id="58"/>
          </w:p>
          <w:p>
            <w:pPr>
              <w:spacing w:line="400" w:lineRule="exact"/>
              <w:rPr>
                <w:rFonts w:hint="eastAsia" w:ascii="宋体" w:hAnsi="宋体" w:cs="宋体"/>
                <w:color w:val="auto"/>
                <w:szCs w:val="21"/>
              </w:rPr>
            </w:pPr>
            <w:r>
              <w:rPr>
                <w:rFonts w:hint="eastAsia" w:ascii="宋体" w:hAnsi="宋体" w:cs="宋体"/>
                <w:bCs/>
                <w:color w:val="auto"/>
                <w:szCs w:val="21"/>
              </w:rPr>
              <w:t>注：投标截止时间后送达的投标文件将被拒收，在规定时间内所提交的文件不符合相关规定要求的也将被拒收。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Merge w:val="continue"/>
            <w:noWrap w:val="0"/>
            <w:vAlign w:val="center"/>
          </w:tcPr>
          <w:p>
            <w:pPr>
              <w:spacing w:line="400" w:lineRule="exact"/>
              <w:jc w:val="center"/>
              <w:rPr>
                <w:rFonts w:hint="eastAsia" w:ascii="宋体" w:hAnsi="宋体" w:cs="宋体"/>
                <w:szCs w:val="21"/>
              </w:rPr>
            </w:pPr>
          </w:p>
        </w:tc>
        <w:tc>
          <w:tcPr>
            <w:tcW w:w="2058" w:type="dxa"/>
            <w:vMerge w:val="continue"/>
            <w:noWrap w:val="0"/>
            <w:vAlign w:val="center"/>
          </w:tcPr>
          <w:p>
            <w:pPr>
              <w:spacing w:line="400" w:lineRule="exact"/>
              <w:jc w:val="center"/>
              <w:rPr>
                <w:rFonts w:hint="eastAsia" w:ascii="宋体" w:hAnsi="宋体" w:cs="宋体"/>
                <w:szCs w:val="21"/>
              </w:rPr>
            </w:pPr>
          </w:p>
        </w:tc>
        <w:tc>
          <w:tcPr>
            <w:tcW w:w="7237" w:type="dxa"/>
            <w:noWrap w:val="0"/>
            <w:vAlign w:val="center"/>
          </w:tcPr>
          <w:p>
            <w:pPr>
              <w:spacing w:line="400" w:lineRule="exact"/>
              <w:rPr>
                <w:rFonts w:hint="default" w:ascii="宋体" w:hAnsi="宋体" w:eastAsia="宋体" w:cs="宋体"/>
                <w:bCs/>
                <w:szCs w:val="21"/>
                <w:lang w:val="en-US" w:eastAsia="zh-CN"/>
              </w:rPr>
            </w:pPr>
            <w:r>
              <w:rPr>
                <w:rFonts w:hint="eastAsia" w:ascii="宋体" w:hAnsi="宋体" w:cs="宋体"/>
                <w:bCs/>
                <w:szCs w:val="21"/>
                <w:lang w:val="en-US" w:eastAsia="zh-CN"/>
              </w:rPr>
              <w:t>地点：宁夏职业技术学院生命科技学院（线上开标）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2058" w:type="dxa"/>
            <w:noWrap w:val="0"/>
            <w:vAlign w:val="center"/>
          </w:tcPr>
          <w:p>
            <w:pPr>
              <w:spacing w:line="400" w:lineRule="exact"/>
              <w:jc w:val="center"/>
              <w:rPr>
                <w:rFonts w:hint="eastAsia" w:ascii="宋体" w:hAnsi="宋体" w:cs="宋体"/>
                <w:szCs w:val="21"/>
              </w:rPr>
            </w:pPr>
            <w:r>
              <w:rPr>
                <w:rFonts w:hint="eastAsia" w:ascii="宋体" w:hAnsi="宋体" w:cs="宋体"/>
                <w:szCs w:val="21"/>
              </w:rPr>
              <w:t>评标办法</w:t>
            </w:r>
          </w:p>
        </w:tc>
        <w:tc>
          <w:tcPr>
            <w:tcW w:w="7237" w:type="dxa"/>
            <w:noWrap w:val="0"/>
            <w:vAlign w:val="center"/>
          </w:tcPr>
          <w:p>
            <w:pPr>
              <w:spacing w:line="400" w:lineRule="exact"/>
              <w:rPr>
                <w:rFonts w:hint="eastAsia" w:ascii="宋体" w:hAnsi="宋体" w:cs="宋体"/>
                <w:szCs w:val="21"/>
              </w:rPr>
            </w:pPr>
            <w:r>
              <w:rPr>
                <w:rFonts w:hint="eastAsia" w:ascii="宋体" w:hAnsi="宋体" w:cs="宋体"/>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0</w:t>
            </w:r>
          </w:p>
        </w:tc>
        <w:tc>
          <w:tcPr>
            <w:tcW w:w="2058" w:type="dxa"/>
            <w:noWrap w:val="0"/>
            <w:vAlign w:val="center"/>
          </w:tcPr>
          <w:p>
            <w:pPr>
              <w:spacing w:line="360" w:lineRule="exact"/>
              <w:jc w:val="center"/>
              <w:rPr>
                <w:rFonts w:hint="eastAsia" w:ascii="宋体" w:hAnsi="宋体" w:cs="宋体"/>
                <w:szCs w:val="21"/>
              </w:rPr>
            </w:pPr>
            <w:r>
              <w:rPr>
                <w:rFonts w:hint="eastAsia" w:ascii="宋体" w:hAnsi="宋体" w:cs="宋体"/>
                <w:bCs/>
                <w:szCs w:val="21"/>
              </w:rPr>
              <w:t>磋商小组成员构成</w:t>
            </w:r>
          </w:p>
        </w:tc>
        <w:tc>
          <w:tcPr>
            <w:tcW w:w="7237" w:type="dxa"/>
            <w:noWrap w:val="0"/>
            <w:vAlign w:val="center"/>
          </w:tcPr>
          <w:p>
            <w:pPr>
              <w:widowControl/>
              <w:snapToGrid w:val="0"/>
              <w:spacing w:line="360" w:lineRule="exact"/>
              <w:ind w:left="31" w:leftChars="15"/>
              <w:rPr>
                <w:rFonts w:hint="eastAsia" w:ascii="宋体" w:hAnsi="宋体" w:cs="宋体"/>
                <w:spacing w:val="-6"/>
                <w:szCs w:val="21"/>
              </w:rPr>
            </w:pPr>
            <w:r>
              <w:rPr>
                <w:rFonts w:hint="eastAsia" w:ascii="宋体" w:hAnsi="宋体" w:cs="宋体"/>
                <w:spacing w:val="-6"/>
                <w:szCs w:val="21"/>
              </w:rPr>
              <w:t>本项目磋商小组由3人构成，其中采购人代表1人，专家2人。</w:t>
            </w:r>
          </w:p>
          <w:p>
            <w:pPr>
              <w:widowControl/>
              <w:snapToGrid w:val="0"/>
              <w:spacing w:line="360" w:lineRule="exact"/>
              <w:ind w:left="31" w:leftChars="15"/>
              <w:rPr>
                <w:rFonts w:hint="eastAsia" w:ascii="宋体" w:hAnsi="宋体" w:cs="宋体"/>
                <w:szCs w:val="21"/>
              </w:rPr>
            </w:pPr>
            <w:r>
              <w:rPr>
                <w:rFonts w:hint="eastAsia" w:ascii="宋体" w:hAnsi="宋体" w:cs="宋体"/>
                <w:szCs w:val="21"/>
              </w:rPr>
              <w:t>评标专家确定方式：在专家库中随机抽取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2058" w:type="dxa"/>
            <w:noWrap w:val="0"/>
            <w:vAlign w:val="center"/>
          </w:tcPr>
          <w:p>
            <w:pPr>
              <w:spacing w:line="360" w:lineRule="exact"/>
              <w:jc w:val="center"/>
              <w:rPr>
                <w:rFonts w:hint="eastAsia" w:ascii="宋体" w:hAnsi="宋体" w:cs="宋体"/>
                <w:szCs w:val="21"/>
              </w:rPr>
            </w:pPr>
            <w:r>
              <w:rPr>
                <w:rFonts w:hint="eastAsia" w:ascii="宋体" w:hAnsi="宋体" w:cs="宋体"/>
                <w:szCs w:val="21"/>
              </w:rPr>
              <w:t>是否提交履约保证金</w:t>
            </w:r>
          </w:p>
        </w:tc>
        <w:tc>
          <w:tcPr>
            <w:tcW w:w="7237" w:type="dxa"/>
            <w:noWrap w:val="0"/>
            <w:vAlign w:val="center"/>
          </w:tcPr>
          <w:p>
            <w:pPr>
              <w:pStyle w:val="19"/>
              <w:keepNext w:val="0"/>
              <w:keepLines w:val="0"/>
              <w:kinsoku w:val="0"/>
              <w:overflowPunct w:val="0"/>
              <w:autoSpaceDE w:val="0"/>
              <w:autoSpaceDN w:val="0"/>
              <w:snapToGrid w:val="0"/>
              <w:spacing w:line="360" w:lineRule="exact"/>
              <w:rPr>
                <w:rFonts w:hint="eastAsia" w:cs="宋体"/>
                <w:color w:val="auto"/>
                <w:szCs w:val="21"/>
              </w:rPr>
            </w:pPr>
            <w:bookmarkStart w:id="59" w:name="_Toc27518"/>
            <w:r>
              <w:rPr>
                <w:rFonts w:hint="eastAsia" w:cs="宋体"/>
                <w:color w:val="auto"/>
                <w:szCs w:val="21"/>
              </w:rPr>
              <w:t>否</w:t>
            </w:r>
            <w:bookmarkEnd w:id="5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2</w:t>
            </w:r>
          </w:p>
        </w:tc>
        <w:tc>
          <w:tcPr>
            <w:tcW w:w="2058" w:type="dxa"/>
            <w:noWrap w:val="0"/>
            <w:vAlign w:val="center"/>
          </w:tcPr>
          <w:p>
            <w:pPr>
              <w:spacing w:line="360" w:lineRule="exact"/>
              <w:jc w:val="center"/>
              <w:rPr>
                <w:rFonts w:hint="eastAsia" w:ascii="宋体" w:hAnsi="宋体" w:cs="宋体"/>
                <w:szCs w:val="21"/>
              </w:rPr>
            </w:pPr>
            <w:r>
              <w:rPr>
                <w:rFonts w:hint="eastAsia" w:ascii="宋体" w:hAnsi="宋体" w:cs="宋体"/>
                <w:szCs w:val="21"/>
              </w:rPr>
              <w:t>合同款的支付</w:t>
            </w:r>
          </w:p>
        </w:tc>
        <w:tc>
          <w:tcPr>
            <w:tcW w:w="7237" w:type="dxa"/>
            <w:noWrap w:val="0"/>
            <w:vAlign w:val="center"/>
          </w:tcPr>
          <w:p>
            <w:pPr>
              <w:pStyle w:val="19"/>
              <w:keepNext w:val="0"/>
              <w:keepLines w:val="0"/>
              <w:spacing w:line="360" w:lineRule="exact"/>
              <w:outlineLvl w:val="9"/>
              <w:rPr>
                <w:rFonts w:hint="eastAsia" w:cs="宋体"/>
                <w:color w:val="auto"/>
                <w:szCs w:val="21"/>
              </w:rPr>
            </w:pPr>
            <w:bookmarkStart w:id="60" w:name="_Toc31884"/>
            <w:r>
              <w:rPr>
                <w:rFonts w:hint="eastAsia" w:cs="宋体"/>
                <w:color w:val="auto"/>
                <w:kern w:val="0"/>
                <w:szCs w:val="21"/>
              </w:rPr>
              <w:t>合同签订后，</w:t>
            </w:r>
            <w:r>
              <w:rPr>
                <w:rFonts w:hint="eastAsia" w:cs="宋体"/>
                <w:color w:val="auto"/>
                <w:kern w:val="0"/>
                <w:szCs w:val="21"/>
                <w:lang w:eastAsia="zh-CN"/>
              </w:rPr>
              <w:t>按中标价</w:t>
            </w:r>
            <w:r>
              <w:rPr>
                <w:rFonts w:hint="eastAsia" w:cs="宋体"/>
                <w:color w:val="auto"/>
                <w:kern w:val="0"/>
                <w:szCs w:val="21"/>
                <w:lang w:val="en-US" w:eastAsia="zh-CN"/>
              </w:rPr>
              <w:t>30%给成交人作为</w:t>
            </w:r>
            <w:r>
              <w:rPr>
                <w:rFonts w:hint="eastAsia" w:cs="宋体"/>
                <w:color w:val="auto"/>
                <w:kern w:val="0"/>
                <w:szCs w:val="21"/>
                <w:lang w:eastAsia="zh-CN"/>
              </w:rPr>
              <w:t>预付款，月余款待</w:t>
            </w:r>
            <w:r>
              <w:rPr>
                <w:rFonts w:hint="eastAsia" w:cs="宋体"/>
                <w:color w:val="auto"/>
                <w:kern w:val="0"/>
                <w:szCs w:val="21"/>
              </w:rPr>
              <w:t>交付</w:t>
            </w:r>
            <w:r>
              <w:rPr>
                <w:rFonts w:hint="eastAsia" w:cs="宋体"/>
                <w:color w:val="auto"/>
                <w:kern w:val="0"/>
                <w:szCs w:val="21"/>
                <w:lang w:eastAsia="zh-CN"/>
              </w:rPr>
              <w:t>工程及</w:t>
            </w:r>
            <w:r>
              <w:rPr>
                <w:rFonts w:hint="eastAsia" w:cs="宋体"/>
                <w:color w:val="auto"/>
                <w:kern w:val="0"/>
                <w:szCs w:val="21"/>
              </w:rPr>
              <w:t>服务并经验收合格后支付</w:t>
            </w:r>
            <w:r>
              <w:rPr>
                <w:rFonts w:hint="eastAsia" w:cs="宋体"/>
                <w:color w:val="auto"/>
                <w:kern w:val="0"/>
                <w:szCs w:val="21"/>
                <w:lang w:eastAsia="zh-CN"/>
              </w:rPr>
              <w:t>到</w:t>
            </w:r>
            <w:r>
              <w:rPr>
                <w:rFonts w:hint="eastAsia" w:cs="宋体"/>
                <w:color w:val="auto"/>
                <w:kern w:val="0"/>
                <w:szCs w:val="21"/>
              </w:rPr>
              <w:t>合同价款的9</w:t>
            </w:r>
            <w:r>
              <w:rPr>
                <w:rFonts w:hint="eastAsia" w:cs="宋体"/>
                <w:color w:val="auto"/>
                <w:kern w:val="0"/>
                <w:szCs w:val="21"/>
                <w:lang w:val="en-US" w:eastAsia="zh-CN"/>
              </w:rPr>
              <w:t>5</w:t>
            </w:r>
            <w:r>
              <w:rPr>
                <w:rFonts w:hint="eastAsia" w:cs="宋体"/>
                <w:color w:val="auto"/>
                <w:kern w:val="0"/>
                <w:szCs w:val="21"/>
              </w:rPr>
              <w:t>%，剩余</w:t>
            </w:r>
            <w:r>
              <w:rPr>
                <w:rFonts w:hint="eastAsia" w:cs="宋体"/>
                <w:color w:val="auto"/>
                <w:kern w:val="0"/>
                <w:szCs w:val="21"/>
                <w:lang w:val="en-US" w:eastAsia="zh-CN"/>
              </w:rPr>
              <w:t>5</w:t>
            </w:r>
            <w:r>
              <w:rPr>
                <w:rFonts w:hint="eastAsia" w:cs="宋体"/>
                <w:color w:val="auto"/>
                <w:kern w:val="0"/>
                <w:szCs w:val="21"/>
              </w:rPr>
              <w:t>%作为项目质保金，待项目交付完毕一年后无质量问题进行支付。</w:t>
            </w:r>
            <w:bookmarkEnd w:id="6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3</w:t>
            </w:r>
          </w:p>
        </w:tc>
        <w:tc>
          <w:tcPr>
            <w:tcW w:w="2058" w:type="dxa"/>
            <w:noWrap w:val="0"/>
            <w:vAlign w:val="center"/>
          </w:tcPr>
          <w:p>
            <w:pPr>
              <w:spacing w:line="360" w:lineRule="exact"/>
              <w:jc w:val="center"/>
              <w:rPr>
                <w:rFonts w:hint="eastAsia" w:ascii="宋体" w:hAnsi="宋体" w:cs="宋体"/>
                <w:szCs w:val="21"/>
              </w:rPr>
            </w:pPr>
            <w:r>
              <w:rPr>
                <w:rFonts w:hint="eastAsia" w:ascii="宋体" w:hAnsi="宋体" w:cs="宋体"/>
                <w:szCs w:val="21"/>
              </w:rPr>
              <w:t>现场踏勘（标前答疑会）</w:t>
            </w:r>
          </w:p>
        </w:tc>
        <w:tc>
          <w:tcPr>
            <w:tcW w:w="7237" w:type="dxa"/>
            <w:noWrap w:val="0"/>
            <w:vAlign w:val="center"/>
          </w:tcPr>
          <w:p>
            <w:pPr>
              <w:pStyle w:val="19"/>
              <w:keepNext w:val="0"/>
              <w:keepLines w:val="0"/>
              <w:spacing w:line="360" w:lineRule="exact"/>
              <w:rPr>
                <w:rFonts w:hint="eastAsia" w:cs="宋体"/>
                <w:color w:val="auto"/>
                <w:kern w:val="0"/>
                <w:szCs w:val="21"/>
              </w:rPr>
            </w:pPr>
            <w:bookmarkStart w:id="61" w:name="_Toc32477"/>
            <w:bookmarkStart w:id="62" w:name="_Toc6064"/>
            <w:bookmarkStart w:id="63" w:name="_Toc26444"/>
            <w:r>
              <w:rPr>
                <w:rFonts w:hint="eastAsia" w:cs="宋体"/>
                <w:color w:val="auto"/>
                <w:szCs w:val="21"/>
              </w:rPr>
              <w:t>本项目不组织踏勘。</w:t>
            </w:r>
            <w:bookmarkEnd w:id="61"/>
            <w:bookmarkEnd w:id="62"/>
            <w:bookmarkEnd w:id="6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4</w:t>
            </w:r>
          </w:p>
        </w:tc>
        <w:tc>
          <w:tcPr>
            <w:tcW w:w="2058" w:type="dxa"/>
            <w:noWrap w:val="0"/>
            <w:vAlign w:val="center"/>
          </w:tcPr>
          <w:p>
            <w:pPr>
              <w:snapToGrid w:val="0"/>
              <w:spacing w:line="360" w:lineRule="exact"/>
              <w:jc w:val="center"/>
              <w:rPr>
                <w:rFonts w:hint="eastAsia" w:ascii="宋体" w:hAnsi="宋体" w:cs="宋体"/>
                <w:szCs w:val="21"/>
              </w:rPr>
            </w:pPr>
            <w:r>
              <w:rPr>
                <w:rFonts w:hint="eastAsia" w:ascii="宋体" w:hAnsi="宋体" w:cs="宋体"/>
                <w:szCs w:val="21"/>
              </w:rPr>
              <w:t>信用记录查询</w:t>
            </w:r>
          </w:p>
        </w:tc>
        <w:tc>
          <w:tcPr>
            <w:tcW w:w="7237" w:type="dxa"/>
            <w:noWrap w:val="0"/>
            <w:vAlign w:val="center"/>
          </w:tcPr>
          <w:p>
            <w:pPr>
              <w:widowControl/>
              <w:snapToGrid w:val="0"/>
              <w:spacing w:line="360" w:lineRule="exact"/>
              <w:ind w:left="31" w:leftChars="15"/>
              <w:rPr>
                <w:rFonts w:hint="eastAsia" w:ascii="宋体" w:hAnsi="宋体" w:cs="宋体"/>
                <w:b/>
                <w:bCs/>
                <w:szCs w:val="21"/>
              </w:rPr>
            </w:pPr>
            <w:r>
              <w:rPr>
                <w:rFonts w:hint="eastAsia" w:ascii="宋体" w:hAnsi="宋体" w:cs="宋体"/>
                <w:szCs w:val="21"/>
              </w:rPr>
              <w:t>资格审查时，通过“信用中国”网站(www.creditchina.gov.cn)、中国政府采购网(www.ccgp.gov.cn)渠道查询投标人信用记录，经查询被列入失信被执行人、重大税收违法案件当事人名单、政府采购严重违法失信行为记录名单，其投标无效，投标人的信用记录查询结果截图将作为项目材料的组成部分并随招标档案保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noWrap w:val="0"/>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5</w:t>
            </w:r>
          </w:p>
        </w:tc>
        <w:tc>
          <w:tcPr>
            <w:tcW w:w="2058" w:type="dxa"/>
            <w:noWrap w:val="0"/>
            <w:vAlign w:val="center"/>
          </w:tcPr>
          <w:p>
            <w:pPr>
              <w:spacing w:line="360" w:lineRule="exact"/>
              <w:jc w:val="center"/>
              <w:rPr>
                <w:rFonts w:hint="eastAsia" w:ascii="宋体" w:hAnsi="宋体" w:cs="宋体"/>
                <w:szCs w:val="21"/>
              </w:rPr>
            </w:pPr>
            <w:r>
              <w:rPr>
                <w:rFonts w:hint="eastAsia" w:ascii="宋体" w:hAnsi="宋体" w:cs="宋体"/>
                <w:szCs w:val="21"/>
              </w:rPr>
              <w:t>其他必要内容</w:t>
            </w:r>
          </w:p>
        </w:tc>
        <w:tc>
          <w:tcPr>
            <w:tcW w:w="7237" w:type="dxa"/>
            <w:noWrap w:val="0"/>
            <w:vAlign w:val="center"/>
          </w:tcPr>
          <w:p>
            <w:pPr>
              <w:pStyle w:val="3"/>
              <w:spacing w:line="400" w:lineRule="exact"/>
              <w:ind w:firstLine="0" w:firstLineChars="0"/>
              <w:rPr>
                <w:rFonts w:hint="eastAsia"/>
                <w:b/>
                <w:bCs/>
                <w:sz w:val="21"/>
                <w:szCs w:val="21"/>
              </w:rPr>
            </w:pPr>
            <w:r>
              <w:rPr>
                <w:rFonts w:hint="eastAsia"/>
                <w:b/>
                <w:bCs/>
                <w:sz w:val="21"/>
                <w:szCs w:val="21"/>
              </w:rPr>
              <w:t>投标人注意事项：</w:t>
            </w:r>
          </w:p>
          <w:p>
            <w:pPr>
              <w:pStyle w:val="3"/>
              <w:numPr>
                <w:ilvl w:val="0"/>
                <w:numId w:val="2"/>
              </w:numPr>
              <w:spacing w:line="400" w:lineRule="exact"/>
              <w:ind w:left="315" w:hanging="315" w:hangingChars="15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响应文件请于投标截止时间前递交至开标地点，逾期递交的响应文件将不予接受。</w:t>
            </w:r>
          </w:p>
          <w:p>
            <w:pPr>
              <w:pStyle w:val="3"/>
              <w:numPr>
                <w:ilvl w:val="0"/>
                <w:numId w:val="2"/>
              </w:numPr>
              <w:spacing w:line="400" w:lineRule="exact"/>
              <w:ind w:left="315" w:hanging="315" w:hangingChars="15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投标人应提供营业执照、信用查询等资料。</w:t>
            </w:r>
          </w:p>
          <w:p>
            <w:pPr>
              <w:pStyle w:val="3"/>
              <w:numPr>
                <w:ilvl w:val="0"/>
                <w:numId w:val="0"/>
              </w:numPr>
              <w:spacing w:line="400" w:lineRule="exact"/>
              <w:ind w:leftChars="-150"/>
              <w:rPr>
                <w:rFonts w:hint="eastAsia" w:cs="宋体"/>
                <w:color w:val="auto"/>
                <w:szCs w:val="21"/>
              </w:rPr>
            </w:pPr>
            <w:r>
              <w:rPr>
                <w:rFonts w:hint="eastAsia" w:cs="宋体"/>
                <w:kern w:val="2"/>
                <w:sz w:val="21"/>
                <w:szCs w:val="21"/>
                <w:lang w:val="en-US" w:eastAsia="zh-CN" w:bidi="ar-SA"/>
              </w:rPr>
              <w:t>33 3、</w:t>
            </w:r>
            <w:r>
              <w:rPr>
                <w:rFonts w:hint="eastAsia" w:ascii="宋体" w:hAnsi="宋体" w:eastAsia="宋体" w:cs="宋体"/>
                <w:kern w:val="2"/>
                <w:sz w:val="21"/>
                <w:szCs w:val="21"/>
                <w:lang w:val="en-US" w:eastAsia="zh-CN" w:bidi="ar-SA"/>
              </w:rPr>
              <w:t>本项目所要求的的证件、证书等资料可提供复印件并加盖响应人公章。</w:t>
            </w:r>
          </w:p>
        </w:tc>
      </w:tr>
    </w:tbl>
    <w:p>
      <w:pPr>
        <w:spacing w:before="120" w:beforeLines="50" w:line="360" w:lineRule="auto"/>
        <w:outlineLvl w:val="0"/>
        <w:rPr>
          <w:rFonts w:hint="eastAsia" w:ascii="宋体" w:hAnsi="宋体" w:cs="宋体"/>
          <w:b/>
          <w:bCs/>
          <w:szCs w:val="21"/>
        </w:rPr>
      </w:pPr>
      <w:bookmarkStart w:id="64" w:name="_Toc14893"/>
      <w:bookmarkStart w:id="65" w:name="_Toc11293"/>
      <w:bookmarkStart w:id="66" w:name="_Toc21893"/>
      <w:bookmarkStart w:id="67" w:name="_Toc19327"/>
      <w:bookmarkStart w:id="68" w:name="_Toc8606"/>
      <w:bookmarkStart w:id="69" w:name="_Toc31228"/>
      <w:bookmarkStart w:id="70" w:name="_Toc28256"/>
      <w:r>
        <w:rPr>
          <w:rFonts w:hint="eastAsia" w:ascii="宋体" w:hAnsi="宋体" w:cs="宋体"/>
          <w:b/>
          <w:szCs w:val="21"/>
        </w:rPr>
        <w:t>注：</w:t>
      </w:r>
      <w:r>
        <w:rPr>
          <w:rFonts w:hint="eastAsia" w:ascii="宋体" w:hAnsi="宋体" w:cs="宋体"/>
          <w:b/>
          <w:bCs/>
          <w:szCs w:val="21"/>
        </w:rPr>
        <w:t>磋商文件未尽事宜，遵照国家相关规定执行。</w:t>
      </w:r>
      <w:bookmarkEnd w:id="64"/>
      <w:bookmarkEnd w:id="65"/>
      <w:bookmarkEnd w:id="66"/>
      <w:bookmarkEnd w:id="67"/>
      <w:bookmarkEnd w:id="68"/>
      <w:bookmarkEnd w:id="69"/>
      <w:bookmarkEnd w:id="70"/>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9"/>
        <w:spacing w:line="360" w:lineRule="auto"/>
        <w:jc w:val="center"/>
        <w:outlineLvl w:val="0"/>
        <w:rPr>
          <w:rFonts w:hint="eastAsia" w:hAnsi="宋体"/>
          <w:b/>
          <w:sz w:val="36"/>
          <w:szCs w:val="36"/>
          <w:lang w:val="en-US" w:eastAsia="zh-CN"/>
        </w:rPr>
      </w:pPr>
      <w:bookmarkStart w:id="71" w:name="_Toc19532"/>
      <w:bookmarkStart w:id="72" w:name="_Toc876"/>
      <w:r>
        <w:rPr>
          <w:rFonts w:hint="eastAsia" w:hAnsi="宋体"/>
          <w:b/>
          <w:sz w:val="36"/>
          <w:szCs w:val="36"/>
          <w:lang w:val="en-US" w:eastAsia="zh-CN"/>
        </w:rPr>
        <w:t>第三章  供应商须知</w:t>
      </w:r>
      <w:bookmarkEnd w:id="71"/>
      <w:bookmarkEnd w:id="72"/>
    </w:p>
    <w:p>
      <w:pPr>
        <w:pStyle w:val="5"/>
        <w:rPr>
          <w:rFonts w:hint="eastAsia" w:ascii="宋体" w:hAnsi="宋体" w:eastAsia="宋体" w:cs="宋体"/>
          <w:b/>
          <w:bCs/>
          <w:sz w:val="28"/>
          <w:szCs w:val="28"/>
        </w:rPr>
      </w:pPr>
      <w:bookmarkStart w:id="73" w:name="_Toc24324"/>
      <w:bookmarkStart w:id="74" w:name="_Toc10793"/>
      <w:bookmarkStart w:id="75" w:name="_Toc20506"/>
      <w:bookmarkStart w:id="76" w:name="_Toc30031"/>
      <w:bookmarkStart w:id="77" w:name="_Toc30463"/>
      <w:r>
        <w:rPr>
          <w:rFonts w:hint="eastAsia" w:ascii="宋体" w:hAnsi="宋体" w:eastAsia="宋体" w:cs="宋体"/>
          <w:b/>
          <w:bCs/>
          <w:sz w:val="28"/>
          <w:szCs w:val="28"/>
        </w:rPr>
        <w:t>一、总则</w:t>
      </w:r>
      <w:bookmarkEnd w:id="73"/>
      <w:bookmarkEnd w:id="74"/>
      <w:bookmarkEnd w:id="75"/>
      <w:bookmarkEnd w:id="76"/>
      <w:bookmarkEnd w:id="77"/>
    </w:p>
    <w:p>
      <w:pPr>
        <w:spacing w:line="360" w:lineRule="auto"/>
        <w:ind w:firstLine="480" w:firstLineChars="200"/>
        <w:rPr>
          <w:rFonts w:hint="eastAsia" w:ascii="宋体" w:hAnsi="宋体" w:cs="Courier New"/>
          <w:sz w:val="24"/>
        </w:rPr>
      </w:pPr>
      <w:r>
        <w:rPr>
          <w:rFonts w:hint="eastAsia" w:ascii="宋体" w:hAnsi="宋体" w:cs="Courier New"/>
          <w:sz w:val="24"/>
        </w:rPr>
        <w:t>1、工程说明</w:t>
      </w:r>
    </w:p>
    <w:p>
      <w:pPr>
        <w:spacing w:line="360" w:lineRule="auto"/>
        <w:ind w:firstLine="480" w:firstLineChars="200"/>
        <w:rPr>
          <w:rFonts w:hint="eastAsia" w:ascii="宋体" w:hAnsi="宋体" w:cs="Courier New"/>
          <w:sz w:val="24"/>
        </w:rPr>
      </w:pPr>
      <w:r>
        <w:rPr>
          <w:rFonts w:hint="eastAsia" w:ascii="宋体" w:hAnsi="宋体" w:cs="Courier New"/>
          <w:sz w:val="24"/>
        </w:rPr>
        <w:t>工程的说明见磋商须知前附表（以下称“前附表”）第1-3项所述。</w:t>
      </w:r>
    </w:p>
    <w:p>
      <w:pPr>
        <w:spacing w:line="360" w:lineRule="auto"/>
        <w:ind w:firstLine="480" w:firstLineChars="200"/>
        <w:rPr>
          <w:rFonts w:hint="eastAsia" w:ascii="宋体" w:hAnsi="宋体" w:cs="Courier New"/>
          <w:sz w:val="24"/>
        </w:rPr>
      </w:pPr>
      <w:r>
        <w:rPr>
          <w:rFonts w:hint="eastAsia" w:ascii="宋体" w:hAnsi="宋体" w:cs="Courier New"/>
          <w:sz w:val="24"/>
        </w:rPr>
        <w:t>2、资金来源</w:t>
      </w:r>
    </w:p>
    <w:p>
      <w:pPr>
        <w:spacing w:line="360" w:lineRule="auto"/>
        <w:ind w:firstLine="480" w:firstLineChars="200"/>
        <w:rPr>
          <w:rFonts w:hint="eastAsia" w:ascii="宋体" w:hAnsi="宋体" w:cs="Courier New"/>
          <w:sz w:val="24"/>
        </w:rPr>
      </w:pPr>
      <w:r>
        <w:rPr>
          <w:rFonts w:hint="eastAsia" w:ascii="宋体" w:hAnsi="宋体" w:cs="Courier New"/>
          <w:sz w:val="24"/>
        </w:rPr>
        <w:t>采购人的资金通过前附表第3项所述的方式获得，并将部分资金用于本工程合同项下的合格支付。</w:t>
      </w:r>
    </w:p>
    <w:p>
      <w:pPr>
        <w:spacing w:line="360" w:lineRule="auto"/>
        <w:ind w:firstLine="480" w:firstLineChars="200"/>
        <w:rPr>
          <w:rFonts w:hint="eastAsia" w:ascii="宋体" w:hAnsi="宋体" w:cs="Courier New"/>
          <w:sz w:val="24"/>
        </w:rPr>
      </w:pPr>
      <w:r>
        <w:rPr>
          <w:rFonts w:hint="eastAsia" w:ascii="宋体" w:hAnsi="宋体" w:cs="Courier New"/>
          <w:sz w:val="24"/>
        </w:rPr>
        <w:t>3、供应商应具备的条件</w:t>
      </w:r>
    </w:p>
    <w:p>
      <w:pPr>
        <w:spacing w:line="360" w:lineRule="auto"/>
        <w:ind w:firstLine="480" w:firstLineChars="200"/>
        <w:rPr>
          <w:rFonts w:hint="eastAsia" w:ascii="宋体" w:hAnsi="宋体" w:cs="Courier New"/>
          <w:sz w:val="24"/>
        </w:rPr>
      </w:pPr>
      <w:r>
        <w:rPr>
          <w:rFonts w:hint="eastAsia" w:ascii="宋体" w:hAnsi="宋体" w:cs="Courier New"/>
          <w:sz w:val="24"/>
        </w:rPr>
        <w:t>3.1 具有独立承担民事责任的能力；</w:t>
      </w:r>
    </w:p>
    <w:p>
      <w:pPr>
        <w:spacing w:line="360" w:lineRule="auto"/>
        <w:ind w:firstLine="480" w:firstLineChars="200"/>
        <w:rPr>
          <w:rFonts w:hint="eastAsia" w:ascii="宋体" w:hAnsi="宋体" w:cs="Courier New"/>
          <w:sz w:val="24"/>
        </w:rPr>
      </w:pPr>
      <w:r>
        <w:rPr>
          <w:rFonts w:hint="eastAsia" w:ascii="宋体" w:hAnsi="宋体" w:cs="Courier New"/>
          <w:sz w:val="24"/>
        </w:rPr>
        <w:t>3.2 具有良好的商业信誉；</w:t>
      </w:r>
    </w:p>
    <w:p>
      <w:pPr>
        <w:spacing w:line="360" w:lineRule="auto"/>
        <w:ind w:firstLine="480" w:firstLineChars="200"/>
        <w:rPr>
          <w:rFonts w:hint="eastAsia" w:ascii="宋体" w:hAnsi="宋体" w:cs="Courier New"/>
          <w:sz w:val="24"/>
        </w:rPr>
      </w:pPr>
      <w:r>
        <w:rPr>
          <w:rFonts w:hint="eastAsia" w:ascii="宋体" w:hAnsi="宋体" w:cs="Courier New"/>
          <w:sz w:val="24"/>
        </w:rPr>
        <w:t xml:space="preserve">3.3 具有履行合同所必需的专业技术能力；    </w:t>
      </w:r>
    </w:p>
    <w:p>
      <w:pPr>
        <w:spacing w:line="360" w:lineRule="auto"/>
        <w:ind w:firstLine="480" w:firstLineChars="200"/>
        <w:rPr>
          <w:rFonts w:hint="eastAsia" w:ascii="宋体" w:hAnsi="宋体" w:cs="Courier New"/>
          <w:sz w:val="24"/>
        </w:rPr>
      </w:pPr>
      <w:r>
        <w:rPr>
          <w:rFonts w:hint="eastAsia" w:ascii="宋体" w:hAnsi="宋体" w:cs="Courier New"/>
          <w:sz w:val="24"/>
        </w:rPr>
        <w:t>3.4 有依法缴纳税收和社会保障资金的良好记录；</w:t>
      </w:r>
    </w:p>
    <w:p>
      <w:pPr>
        <w:spacing w:line="360" w:lineRule="auto"/>
        <w:ind w:firstLine="480" w:firstLineChars="200"/>
        <w:rPr>
          <w:rFonts w:hint="eastAsia" w:ascii="宋体" w:hAnsi="宋体" w:cs="Courier New"/>
          <w:sz w:val="24"/>
        </w:rPr>
      </w:pPr>
      <w:r>
        <w:rPr>
          <w:rFonts w:hint="eastAsia" w:ascii="宋体" w:hAnsi="宋体" w:cs="Courier New"/>
          <w:sz w:val="24"/>
        </w:rPr>
        <w:t>3.5 在经营活动中没有重大违法记录</w:t>
      </w:r>
      <w:r>
        <w:rPr>
          <w:rFonts w:hint="eastAsia" w:ascii="宋体" w:hAnsi="宋体" w:cs="Courier New"/>
          <w:sz w:val="24"/>
          <w:lang w:eastAsia="zh-CN"/>
        </w:rPr>
        <w:t>。</w:t>
      </w:r>
    </w:p>
    <w:p>
      <w:pPr>
        <w:spacing w:line="360" w:lineRule="auto"/>
        <w:ind w:firstLine="480" w:firstLineChars="200"/>
        <w:rPr>
          <w:rFonts w:hint="eastAsia" w:ascii="宋体" w:hAnsi="宋体" w:cs="Courier New"/>
          <w:sz w:val="24"/>
        </w:rPr>
      </w:pPr>
      <w:r>
        <w:rPr>
          <w:rFonts w:hint="eastAsia" w:ascii="宋体" w:hAnsi="宋体" w:cs="Courier New"/>
          <w:sz w:val="24"/>
        </w:rPr>
        <w:t>4、资质与合格条件的要求</w:t>
      </w:r>
    </w:p>
    <w:p>
      <w:pPr>
        <w:spacing w:line="360" w:lineRule="auto"/>
        <w:ind w:firstLine="480" w:firstLineChars="200"/>
        <w:rPr>
          <w:rFonts w:hint="eastAsia" w:ascii="宋体" w:hAnsi="宋体" w:cs="Courier New"/>
          <w:sz w:val="24"/>
        </w:rPr>
      </w:pPr>
      <w:r>
        <w:rPr>
          <w:rFonts w:hint="eastAsia" w:ascii="宋体" w:hAnsi="宋体" w:cs="Courier New"/>
          <w:sz w:val="24"/>
        </w:rPr>
        <w:t>4.1为履行本施工合同的目的,参加本项目的供应商至少须满足前附表第5项中所要求的资质条件。</w:t>
      </w:r>
    </w:p>
    <w:p>
      <w:pPr>
        <w:spacing w:line="360" w:lineRule="auto"/>
        <w:ind w:firstLine="480" w:firstLineChars="200"/>
        <w:rPr>
          <w:rFonts w:hint="eastAsia" w:ascii="宋体" w:hAnsi="宋体" w:cs="Courier New"/>
          <w:sz w:val="24"/>
        </w:rPr>
      </w:pPr>
      <w:r>
        <w:rPr>
          <w:rFonts w:hint="eastAsia" w:ascii="宋体" w:hAnsi="宋体" w:cs="Courier New"/>
          <w:sz w:val="24"/>
        </w:rPr>
        <w:t>4.3为具有优先被授予合同的资格，供应商应提供相应的资格文件，以证明其符合投标合格条件和具有履行合同的能力。为此，所提交的响应文件中应包括下列资料：</w:t>
      </w:r>
    </w:p>
    <w:p>
      <w:pPr>
        <w:spacing w:line="360" w:lineRule="auto"/>
        <w:ind w:firstLine="480" w:firstLineChars="200"/>
        <w:rPr>
          <w:rFonts w:hint="eastAsia" w:ascii="宋体" w:hAnsi="宋体" w:cs="Courier New"/>
          <w:sz w:val="24"/>
        </w:rPr>
      </w:pPr>
      <w:r>
        <w:rPr>
          <w:rFonts w:hint="eastAsia" w:ascii="宋体" w:hAnsi="宋体" w:cs="Courier New"/>
          <w:sz w:val="24"/>
        </w:rPr>
        <w:t>4.3.1有关确立供应商法律地位的原始文件（包括营业执照、安全生产许可证、资质等级证书等）。</w:t>
      </w:r>
    </w:p>
    <w:p>
      <w:pPr>
        <w:spacing w:line="360" w:lineRule="auto"/>
        <w:ind w:firstLine="480" w:firstLineChars="200"/>
        <w:rPr>
          <w:rFonts w:hint="eastAsia" w:ascii="宋体" w:hAnsi="宋体" w:cs="Courier New"/>
          <w:sz w:val="24"/>
        </w:rPr>
      </w:pPr>
      <w:r>
        <w:rPr>
          <w:rFonts w:hint="eastAsia" w:ascii="宋体" w:hAnsi="宋体" w:cs="Courier New"/>
          <w:sz w:val="24"/>
        </w:rPr>
        <w:t>4.3.2 供应商在过去3年完成工程的情况和现在正在履行的合同情况。</w:t>
      </w:r>
    </w:p>
    <w:p>
      <w:pPr>
        <w:spacing w:line="360" w:lineRule="auto"/>
        <w:ind w:firstLine="480" w:firstLineChars="200"/>
        <w:rPr>
          <w:rFonts w:hint="eastAsia" w:ascii="宋体" w:hAnsi="宋体" w:cs="Courier New"/>
          <w:sz w:val="24"/>
        </w:rPr>
      </w:pPr>
      <w:r>
        <w:rPr>
          <w:rFonts w:hint="eastAsia" w:ascii="宋体" w:hAnsi="宋体" w:cs="Courier New"/>
          <w:sz w:val="24"/>
        </w:rPr>
        <w:t>5、投标费用</w:t>
      </w:r>
    </w:p>
    <w:p>
      <w:pPr>
        <w:spacing w:line="360" w:lineRule="auto"/>
        <w:ind w:firstLine="480" w:firstLineChars="200"/>
        <w:rPr>
          <w:rFonts w:hint="eastAsia" w:ascii="宋体" w:hAnsi="宋体" w:cs="Courier New"/>
          <w:sz w:val="24"/>
        </w:rPr>
      </w:pPr>
      <w:r>
        <w:rPr>
          <w:rFonts w:hint="eastAsia" w:ascii="宋体" w:hAnsi="宋体" w:cs="Courier New"/>
          <w:sz w:val="24"/>
        </w:rPr>
        <w:t>供应商应承担其编制响应文件与递交响应文件所涉及的一切费用，不管投标结果如何，代理机构对上述费用不负任何责任。</w:t>
      </w:r>
    </w:p>
    <w:p>
      <w:pPr>
        <w:pStyle w:val="5"/>
        <w:rPr>
          <w:rFonts w:hint="eastAsia" w:ascii="宋体" w:hAnsi="宋体" w:eastAsia="宋体" w:cs="宋体"/>
          <w:b/>
          <w:bCs/>
          <w:sz w:val="28"/>
          <w:szCs w:val="28"/>
        </w:rPr>
      </w:pPr>
      <w:bookmarkStart w:id="78" w:name="_Toc13679"/>
      <w:bookmarkStart w:id="79" w:name="_Toc3035"/>
      <w:bookmarkStart w:id="80" w:name="_Toc12006"/>
      <w:bookmarkStart w:id="81" w:name="_Toc13479"/>
      <w:bookmarkStart w:id="82" w:name="_Toc23528"/>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、投标报价说明</w:t>
      </w:r>
      <w:bookmarkEnd w:id="78"/>
      <w:bookmarkEnd w:id="79"/>
      <w:bookmarkEnd w:id="80"/>
      <w:bookmarkEnd w:id="81"/>
      <w:bookmarkEnd w:id="82"/>
    </w:p>
    <w:p>
      <w:pPr>
        <w:spacing w:line="360" w:lineRule="auto"/>
        <w:ind w:firstLine="480" w:firstLineChars="200"/>
        <w:rPr>
          <w:rFonts w:hint="eastAsia" w:ascii="宋体" w:hAnsi="宋体" w:cs="Courier New"/>
          <w:sz w:val="24"/>
        </w:rPr>
      </w:pPr>
      <w:r>
        <w:rPr>
          <w:rFonts w:hint="eastAsia" w:ascii="宋体" w:hAnsi="宋体" w:cs="Courier New"/>
          <w:sz w:val="24"/>
        </w:rPr>
        <w:t>1、供应商按照磋商文件自行组织报价。</w:t>
      </w:r>
    </w:p>
    <w:p>
      <w:pPr>
        <w:spacing w:line="360" w:lineRule="auto"/>
        <w:ind w:firstLine="480" w:firstLineChars="200"/>
        <w:rPr>
          <w:rFonts w:hint="eastAsia" w:ascii="宋体" w:hAnsi="宋体" w:cs="Courier New"/>
          <w:sz w:val="24"/>
        </w:rPr>
      </w:pPr>
      <w:r>
        <w:rPr>
          <w:rFonts w:hint="eastAsia" w:ascii="宋体" w:hAnsi="宋体" w:cs="Courier New"/>
          <w:sz w:val="24"/>
        </w:rPr>
        <w:t>2、供应商必须以人民币报价。</w:t>
      </w:r>
    </w:p>
    <w:p>
      <w:pPr>
        <w:spacing w:line="360" w:lineRule="auto"/>
        <w:ind w:firstLine="480" w:firstLineChars="200"/>
        <w:rPr>
          <w:rFonts w:hint="eastAsia" w:ascii="宋体" w:hAnsi="宋体" w:cs="Courier New"/>
          <w:sz w:val="24"/>
        </w:rPr>
      </w:pPr>
      <w:r>
        <w:rPr>
          <w:rFonts w:hint="eastAsia" w:ascii="宋体" w:hAnsi="宋体" w:cs="Courier New"/>
          <w:sz w:val="24"/>
        </w:rPr>
        <w:t>3、除非磋商文件中另有规定，报价汇总表中的价格应包括施工设备、劳务、管理、材料、安装、利润、税金、政策性文件规定等各项应有费用（包括人工费调整、环境保护取费、文明施工取费、安全施工取费等）。</w:t>
      </w:r>
    </w:p>
    <w:p>
      <w:pPr>
        <w:spacing w:line="360" w:lineRule="auto"/>
        <w:ind w:firstLine="480" w:firstLineChars="200"/>
        <w:rPr>
          <w:rFonts w:hint="eastAsia" w:ascii="宋体" w:hAnsi="宋体" w:cs="Courier New"/>
          <w:sz w:val="24"/>
        </w:rPr>
      </w:pPr>
      <w:r>
        <w:rPr>
          <w:rFonts w:hint="eastAsia" w:ascii="宋体" w:hAnsi="宋体" w:cs="Courier New"/>
          <w:sz w:val="24"/>
        </w:rPr>
        <w:t>4、供应商应严格按照采购人提出的</w:t>
      </w:r>
      <w:r>
        <w:rPr>
          <w:rFonts w:hint="eastAsia" w:ascii="宋体" w:hAnsi="宋体" w:cs="Courier New"/>
          <w:sz w:val="24"/>
          <w:lang w:eastAsia="zh-CN"/>
        </w:rPr>
        <w:t>技术要求</w:t>
      </w:r>
      <w:r>
        <w:rPr>
          <w:rFonts w:hint="eastAsia" w:ascii="宋体" w:hAnsi="宋体" w:cs="Courier New"/>
          <w:sz w:val="24"/>
        </w:rPr>
        <w:t>进行报价，不得有错漏项，否则将会被认定为无效响应。</w:t>
      </w:r>
    </w:p>
    <w:p>
      <w:pPr>
        <w:pStyle w:val="5"/>
        <w:rPr>
          <w:rFonts w:hint="eastAsia" w:ascii="宋体" w:hAnsi="宋体" w:eastAsia="宋体" w:cs="宋体"/>
          <w:b/>
          <w:bCs/>
          <w:sz w:val="28"/>
          <w:szCs w:val="28"/>
        </w:rPr>
      </w:pPr>
      <w:bookmarkStart w:id="83" w:name="_Toc13734"/>
      <w:bookmarkStart w:id="84" w:name="_Toc3976"/>
      <w:bookmarkStart w:id="85" w:name="_Toc6914"/>
      <w:bookmarkStart w:id="86" w:name="_Toc32389"/>
      <w:bookmarkStart w:id="87" w:name="_Toc26597"/>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、响应文件的编制</w:t>
      </w:r>
      <w:bookmarkEnd w:id="83"/>
      <w:bookmarkEnd w:id="84"/>
      <w:bookmarkEnd w:id="85"/>
      <w:bookmarkEnd w:id="86"/>
      <w:bookmarkEnd w:id="87"/>
    </w:p>
    <w:p>
      <w:pPr>
        <w:spacing w:line="360" w:lineRule="auto"/>
        <w:ind w:firstLine="480" w:firstLineChars="200"/>
        <w:rPr>
          <w:rFonts w:hint="eastAsia" w:ascii="宋体" w:hAnsi="宋体" w:cs="Courier New"/>
          <w:sz w:val="24"/>
        </w:rPr>
      </w:pPr>
      <w:r>
        <w:rPr>
          <w:rFonts w:hint="eastAsia" w:ascii="宋体" w:hAnsi="宋体" w:cs="Courier New"/>
          <w:sz w:val="24"/>
        </w:rPr>
        <w:t>1、响应文件的组成</w:t>
      </w:r>
    </w:p>
    <w:p>
      <w:pPr>
        <w:spacing w:line="360" w:lineRule="auto"/>
        <w:ind w:firstLine="480" w:firstLineChars="200"/>
        <w:rPr>
          <w:rFonts w:hint="eastAsia" w:ascii="宋体" w:hAnsi="宋体" w:cs="Courier New"/>
          <w:sz w:val="24"/>
        </w:rPr>
      </w:pPr>
      <w:r>
        <w:rPr>
          <w:rFonts w:hint="eastAsia" w:ascii="宋体" w:hAnsi="宋体" w:cs="Courier New"/>
          <w:sz w:val="24"/>
        </w:rPr>
        <w:t>1.1供应商的响应文件应包括下列内容：</w:t>
      </w:r>
    </w:p>
    <w:p>
      <w:pPr>
        <w:spacing w:line="360" w:lineRule="auto"/>
        <w:ind w:firstLine="480" w:firstLineChars="200"/>
        <w:rPr>
          <w:rFonts w:hint="eastAsia" w:ascii="宋体" w:hAnsi="宋体" w:cs="Courier New"/>
          <w:sz w:val="24"/>
        </w:rPr>
      </w:pPr>
      <w:r>
        <w:rPr>
          <w:rFonts w:hint="eastAsia" w:ascii="宋体" w:hAnsi="宋体" w:cs="Courier New"/>
          <w:sz w:val="24"/>
        </w:rPr>
        <w:t>●投标书</w:t>
      </w:r>
    </w:p>
    <w:p>
      <w:pPr>
        <w:spacing w:line="360" w:lineRule="auto"/>
        <w:ind w:firstLine="480" w:firstLineChars="200"/>
        <w:rPr>
          <w:rFonts w:hint="eastAsia" w:ascii="宋体" w:hAnsi="宋体" w:cs="Courier New"/>
          <w:sz w:val="24"/>
        </w:rPr>
      </w:pPr>
      <w:r>
        <w:rPr>
          <w:rFonts w:hint="eastAsia" w:ascii="宋体" w:hAnsi="宋体" w:cs="Courier New"/>
          <w:sz w:val="24"/>
        </w:rPr>
        <w:t>●法定代表人资格证明书</w:t>
      </w:r>
    </w:p>
    <w:p>
      <w:pPr>
        <w:spacing w:line="360" w:lineRule="auto"/>
        <w:ind w:firstLine="480" w:firstLineChars="200"/>
        <w:rPr>
          <w:rFonts w:hint="eastAsia" w:ascii="宋体" w:hAnsi="宋体" w:cs="Courier New"/>
          <w:sz w:val="24"/>
        </w:rPr>
      </w:pPr>
      <w:r>
        <w:rPr>
          <w:rFonts w:hint="eastAsia" w:ascii="宋体" w:hAnsi="宋体" w:cs="Courier New"/>
          <w:sz w:val="24"/>
        </w:rPr>
        <w:t>●授权委托书</w:t>
      </w:r>
    </w:p>
    <w:p>
      <w:pPr>
        <w:spacing w:line="360" w:lineRule="auto"/>
        <w:ind w:firstLine="480" w:firstLineChars="200"/>
        <w:rPr>
          <w:rFonts w:hint="eastAsia" w:ascii="宋体" w:hAnsi="宋体" w:cs="Courier New"/>
          <w:sz w:val="24"/>
        </w:rPr>
      </w:pPr>
      <w:r>
        <w:rPr>
          <w:rFonts w:hint="eastAsia" w:ascii="宋体" w:hAnsi="宋体" w:cs="Courier New"/>
          <w:sz w:val="24"/>
        </w:rPr>
        <w:t>●具有标价的工程量预算与报价表（工程预算书）</w:t>
      </w:r>
    </w:p>
    <w:p>
      <w:pPr>
        <w:spacing w:line="360" w:lineRule="auto"/>
        <w:ind w:firstLine="480" w:firstLineChars="200"/>
        <w:rPr>
          <w:rFonts w:hint="eastAsia" w:ascii="宋体" w:hAnsi="宋体" w:cs="Courier New"/>
          <w:sz w:val="24"/>
        </w:rPr>
      </w:pPr>
      <w:r>
        <w:rPr>
          <w:rFonts w:hint="eastAsia" w:ascii="宋体" w:hAnsi="宋体" w:cs="Courier New"/>
          <w:sz w:val="24"/>
        </w:rPr>
        <w:t>●辅助资料（供应商编制的响应文件须包含：施工组织设计；工程进度计划及提出保证措施；投标方声明工程质量承诺及实施手段证明文件；供应商声明对安全施工方案的承诺等）</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2</w:t>
      </w:r>
      <w:r>
        <w:rPr>
          <w:rFonts w:hint="eastAsia" w:ascii="宋体" w:hAnsi="宋体" w:cs="Courier New"/>
          <w:sz w:val="24"/>
        </w:rPr>
        <w:t>、勘察现场及答疑</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2</w:t>
      </w:r>
      <w:r>
        <w:rPr>
          <w:rFonts w:hint="eastAsia" w:ascii="宋体" w:hAnsi="宋体" w:cs="Courier New"/>
          <w:sz w:val="24"/>
        </w:rPr>
        <w:t>.1本项目不组织统一踏勘。</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2</w:t>
      </w:r>
      <w:r>
        <w:rPr>
          <w:rFonts w:hint="eastAsia" w:ascii="宋体" w:hAnsi="宋体" w:cs="Courier New"/>
          <w:sz w:val="24"/>
        </w:rPr>
        <w:t>.2供应商可以对工程施工现场和周围环境进行勘察，以获取须供应商自己负责的有关编制响应文件和签署合同所需的所有资料。勘察现场所发生的费用由供应商自己承担。</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2</w:t>
      </w:r>
      <w:r>
        <w:rPr>
          <w:rFonts w:hint="eastAsia" w:ascii="宋体" w:hAnsi="宋体" w:cs="Courier New"/>
          <w:sz w:val="24"/>
        </w:rPr>
        <w:t>.3采购人向供应商提供的有关施工现场的资料和数据，是采购人现有的能使供应商利用的资料。采购人对供应商由此而做出的推论、理解和结论概不负责。</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2</w:t>
      </w:r>
      <w:r>
        <w:rPr>
          <w:rFonts w:hint="eastAsia" w:ascii="宋体" w:hAnsi="宋体" w:cs="Courier New"/>
          <w:sz w:val="24"/>
        </w:rPr>
        <w:t>.4供应商提出的与投标有关的任何问题须以书面形式送达。</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3</w:t>
      </w:r>
      <w:r>
        <w:rPr>
          <w:rFonts w:hint="eastAsia" w:ascii="宋体" w:hAnsi="宋体" w:cs="Courier New"/>
          <w:sz w:val="24"/>
        </w:rPr>
        <w:t>、响应文件的份数和签署</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3</w:t>
      </w:r>
      <w:r>
        <w:rPr>
          <w:rFonts w:hint="eastAsia" w:ascii="宋体" w:hAnsi="宋体" w:cs="Courier New"/>
          <w:sz w:val="24"/>
        </w:rPr>
        <w:t>.1供应商按本须知第</w:t>
      </w:r>
      <w:r>
        <w:rPr>
          <w:rFonts w:hint="eastAsia" w:ascii="宋体" w:hAnsi="宋体" w:cs="Courier New"/>
          <w:sz w:val="24"/>
          <w:lang w:val="en-US" w:eastAsia="zh-CN"/>
        </w:rPr>
        <w:t>三</w:t>
      </w:r>
      <w:r>
        <w:rPr>
          <w:rFonts w:hint="eastAsia" w:ascii="宋体" w:hAnsi="宋体" w:cs="Courier New"/>
          <w:sz w:val="24"/>
        </w:rPr>
        <w:t>条的规定，编制一份响应文件“正本”和前附表第</w:t>
      </w:r>
      <w:r>
        <w:rPr>
          <w:rFonts w:hint="eastAsia" w:ascii="宋体" w:hAnsi="宋体" w:cs="Courier New"/>
          <w:sz w:val="24"/>
          <w:lang w:val="en-US" w:eastAsia="zh-CN"/>
        </w:rPr>
        <w:t>7</w:t>
      </w:r>
      <w:r>
        <w:rPr>
          <w:rFonts w:hint="eastAsia" w:ascii="宋体" w:hAnsi="宋体" w:cs="Courier New"/>
          <w:sz w:val="24"/>
        </w:rPr>
        <w:t>项所述份数的“副本”，并明确标明“正本”、“副本”。响应文件正本和副本如有不一致之处，以正本为准。副本可以为正本的复印件。</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3</w:t>
      </w:r>
      <w:r>
        <w:rPr>
          <w:rFonts w:hint="eastAsia" w:ascii="宋体" w:hAnsi="宋体" w:cs="Courier New"/>
          <w:sz w:val="24"/>
        </w:rPr>
        <w:t>.2响应文件大写金额和小写金额不一致的，以大写金额为准。总价金额与按单价汇总金额不一致的，以单价金额计算结果为准。单价金额小数点有明显错位的，应以总价为准，并修改单价。</w:t>
      </w:r>
    </w:p>
    <w:p>
      <w:pPr>
        <w:spacing w:line="360" w:lineRule="auto"/>
        <w:ind w:firstLine="480" w:firstLineChars="200"/>
        <w:rPr>
          <w:rFonts w:hint="eastAsia" w:ascii="宋体" w:hAnsi="宋体" w:cs="Courier New"/>
          <w:sz w:val="24"/>
          <w:lang w:eastAsia="zh-CN"/>
        </w:rPr>
      </w:pPr>
      <w:r>
        <w:rPr>
          <w:rFonts w:hint="eastAsia" w:ascii="宋体" w:hAnsi="宋体" w:cs="Courier New"/>
          <w:sz w:val="24"/>
          <w:lang w:val="en-US" w:eastAsia="zh-CN"/>
        </w:rPr>
        <w:t>3</w:t>
      </w:r>
      <w:r>
        <w:rPr>
          <w:rFonts w:hint="eastAsia" w:ascii="宋体" w:hAnsi="宋体" w:cs="Courier New"/>
          <w:sz w:val="24"/>
        </w:rPr>
        <w:t>.3响应文件不得行间插字、涂改或增删。如有修改错漏处，必须由供应商的法定代表人或其授权代表签字并加盖供应商公章。</w:t>
      </w:r>
    </w:p>
    <w:p>
      <w:pPr>
        <w:pStyle w:val="5"/>
        <w:rPr>
          <w:rFonts w:hint="eastAsia" w:ascii="宋体" w:hAnsi="宋体" w:eastAsia="宋体" w:cs="宋体"/>
          <w:b/>
          <w:bCs/>
          <w:sz w:val="28"/>
          <w:szCs w:val="28"/>
        </w:rPr>
      </w:pPr>
      <w:bookmarkStart w:id="88" w:name="_Toc22245"/>
      <w:bookmarkStart w:id="89" w:name="_Toc31828"/>
      <w:bookmarkStart w:id="90" w:name="_Toc14744"/>
      <w:bookmarkStart w:id="91" w:name="_Toc12317"/>
      <w:bookmarkStart w:id="92" w:name="_Toc241"/>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、响应文件的递交</w:t>
      </w:r>
      <w:bookmarkEnd w:id="88"/>
      <w:bookmarkEnd w:id="89"/>
      <w:bookmarkEnd w:id="90"/>
      <w:bookmarkEnd w:id="91"/>
      <w:bookmarkEnd w:id="92"/>
    </w:p>
    <w:p>
      <w:pPr>
        <w:spacing w:line="360" w:lineRule="auto"/>
        <w:ind w:firstLine="480" w:firstLineChars="200"/>
        <w:rPr>
          <w:rFonts w:hint="eastAsia" w:ascii="宋体" w:hAnsi="宋体" w:cs="Courier New"/>
          <w:sz w:val="24"/>
        </w:rPr>
      </w:pPr>
      <w:r>
        <w:rPr>
          <w:rFonts w:hint="eastAsia" w:ascii="宋体" w:hAnsi="宋体" w:cs="Courier New"/>
          <w:sz w:val="24"/>
        </w:rPr>
        <w:t>1.响应文件的密封及标记</w:t>
      </w:r>
    </w:p>
    <w:p>
      <w:pPr>
        <w:spacing w:line="360" w:lineRule="auto"/>
        <w:ind w:firstLine="480" w:firstLineChars="200"/>
        <w:rPr>
          <w:rFonts w:hint="eastAsia" w:ascii="宋体" w:hAnsi="宋体" w:cs="Courier New"/>
          <w:sz w:val="24"/>
        </w:rPr>
      </w:pPr>
      <w:r>
        <w:rPr>
          <w:rFonts w:hint="eastAsia" w:ascii="宋体" w:hAnsi="宋体" w:cs="Courier New"/>
          <w:sz w:val="24"/>
        </w:rPr>
        <w:t>1.1响应文件应按以下方法装袋（箱）密封：</w:t>
      </w:r>
    </w:p>
    <w:p>
      <w:pPr>
        <w:spacing w:line="360" w:lineRule="auto"/>
        <w:ind w:firstLine="480" w:firstLineChars="200"/>
        <w:rPr>
          <w:rFonts w:hint="eastAsia" w:ascii="宋体" w:hAnsi="宋体" w:cs="Courier New"/>
          <w:sz w:val="24"/>
        </w:rPr>
      </w:pPr>
      <w:r>
        <w:rPr>
          <w:rFonts w:hint="eastAsia" w:ascii="宋体" w:hAnsi="宋体" w:cs="Courier New"/>
          <w:sz w:val="24"/>
        </w:rPr>
        <w:t>（1）响应文件正本应单独用一个牢固的密封袋（箱）密封,所有副本用另一个单独的密封袋（箱）密封(这些直接包封响应文件正本或副本的密封袋（箱）称为内包封)。装有响应文件正本和副本的两个密封袋（箱）再一起装入并密封在另一个外密封袋（箱）中。</w:t>
      </w:r>
    </w:p>
    <w:p>
      <w:pPr>
        <w:spacing w:line="360" w:lineRule="auto"/>
        <w:ind w:firstLine="480" w:firstLineChars="200"/>
        <w:rPr>
          <w:rFonts w:hint="eastAsia" w:ascii="宋体" w:hAnsi="宋体" w:cs="Courier New"/>
          <w:sz w:val="24"/>
        </w:rPr>
      </w:pPr>
      <w:r>
        <w:rPr>
          <w:rFonts w:hint="eastAsia" w:ascii="宋体" w:hAnsi="宋体" w:cs="Courier New"/>
          <w:sz w:val="24"/>
        </w:rPr>
        <w:t>（2）密封的意思是供应商对响应文件的内、外层密封袋（箱）封口处固粘接并加盖投标单位公章、密封章（或粘贴封条），未密封提交的响应文件，应予以拒绝，并退回供应商。</w:t>
      </w:r>
    </w:p>
    <w:p>
      <w:pPr>
        <w:spacing w:line="360" w:lineRule="auto"/>
        <w:ind w:firstLine="480" w:firstLineChars="200"/>
        <w:rPr>
          <w:rFonts w:hint="eastAsia" w:ascii="宋体" w:hAnsi="宋体" w:cs="Courier New"/>
          <w:sz w:val="24"/>
        </w:rPr>
      </w:pPr>
      <w:r>
        <w:rPr>
          <w:rFonts w:hint="eastAsia" w:ascii="宋体" w:hAnsi="宋体" w:cs="Courier New"/>
          <w:sz w:val="24"/>
        </w:rPr>
        <w:t>2、投标截止期</w:t>
      </w:r>
    </w:p>
    <w:p>
      <w:pPr>
        <w:spacing w:line="360" w:lineRule="auto"/>
        <w:ind w:firstLine="480" w:firstLineChars="200"/>
        <w:rPr>
          <w:rFonts w:hint="eastAsia" w:ascii="宋体" w:hAnsi="宋体" w:cs="Courier New"/>
          <w:sz w:val="24"/>
        </w:rPr>
      </w:pPr>
      <w:r>
        <w:rPr>
          <w:rFonts w:hint="eastAsia" w:ascii="宋体" w:hAnsi="宋体" w:cs="Courier New"/>
          <w:sz w:val="24"/>
        </w:rPr>
        <w:t>2.1供应商应按前附表第</w:t>
      </w:r>
      <w:r>
        <w:rPr>
          <w:rFonts w:hint="eastAsia" w:ascii="宋体" w:hAnsi="宋体" w:cs="Courier New"/>
          <w:sz w:val="24"/>
          <w:lang w:val="en-US" w:eastAsia="zh-CN"/>
        </w:rPr>
        <w:t>8</w:t>
      </w:r>
      <w:r>
        <w:rPr>
          <w:rFonts w:hint="eastAsia" w:ascii="宋体" w:hAnsi="宋体" w:cs="Courier New"/>
          <w:sz w:val="24"/>
        </w:rPr>
        <w:t>项规定的时间之前将响应文件递交至指定地点。</w:t>
      </w:r>
    </w:p>
    <w:p>
      <w:pPr>
        <w:spacing w:line="360" w:lineRule="auto"/>
        <w:ind w:firstLine="480" w:firstLineChars="200"/>
        <w:rPr>
          <w:rFonts w:hint="eastAsia" w:ascii="宋体" w:hAnsi="宋体" w:cs="Courier New"/>
          <w:sz w:val="24"/>
        </w:rPr>
      </w:pPr>
      <w:r>
        <w:rPr>
          <w:rFonts w:hint="eastAsia" w:ascii="宋体" w:hAnsi="宋体" w:cs="Courier New"/>
          <w:sz w:val="24"/>
        </w:rPr>
        <w:t>2.2采购人可以按规定的以补充通知的方式，酌情延长递交响应文件的截止日期。在上述情况下，采购人与供应商以前在投标截止期方面的全部权力、责任和义务，将适用于延长后的投标截止期。</w:t>
      </w:r>
    </w:p>
    <w:p>
      <w:pPr>
        <w:spacing w:line="360" w:lineRule="auto"/>
        <w:ind w:firstLine="480" w:firstLineChars="200"/>
        <w:rPr>
          <w:rFonts w:hint="eastAsia" w:ascii="宋体" w:hAnsi="宋体" w:cs="Courier New"/>
          <w:sz w:val="24"/>
        </w:rPr>
      </w:pPr>
      <w:r>
        <w:rPr>
          <w:rFonts w:hint="eastAsia" w:ascii="宋体" w:hAnsi="宋体" w:cs="Courier New"/>
          <w:sz w:val="24"/>
        </w:rPr>
        <w:t>2.3采购人在投标截止期以后不再接受响应文件。</w:t>
      </w:r>
    </w:p>
    <w:p>
      <w:pPr>
        <w:pStyle w:val="5"/>
        <w:rPr>
          <w:rFonts w:hint="eastAsia" w:ascii="宋体" w:hAnsi="宋体" w:eastAsia="宋体" w:cs="宋体"/>
          <w:b/>
          <w:bCs/>
          <w:sz w:val="28"/>
          <w:szCs w:val="28"/>
        </w:rPr>
      </w:pPr>
      <w:bookmarkStart w:id="93" w:name="_Toc17075"/>
      <w:bookmarkStart w:id="94" w:name="_Toc3238"/>
      <w:bookmarkStart w:id="95" w:name="_Toc30995"/>
      <w:bookmarkStart w:id="96" w:name="_Toc19620"/>
      <w:bookmarkStart w:id="97" w:name="_Toc30516"/>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、开标</w:t>
      </w:r>
      <w:bookmarkEnd w:id="93"/>
      <w:bookmarkEnd w:id="94"/>
      <w:bookmarkEnd w:id="95"/>
      <w:bookmarkEnd w:id="96"/>
      <w:bookmarkEnd w:id="97"/>
    </w:p>
    <w:p>
      <w:pPr>
        <w:spacing w:line="360" w:lineRule="auto"/>
        <w:ind w:firstLine="480" w:firstLineChars="200"/>
        <w:rPr>
          <w:rFonts w:hint="eastAsia" w:ascii="宋体" w:hAnsi="宋体" w:cs="Courier New"/>
          <w:sz w:val="24"/>
        </w:rPr>
      </w:pPr>
      <w:r>
        <w:rPr>
          <w:rFonts w:hint="eastAsia" w:ascii="宋体" w:hAnsi="宋体" w:cs="Courier New"/>
          <w:sz w:val="24"/>
        </w:rPr>
        <w:t>1、采购人将在“供应商须知前附表”规定的时间和地点组织公开开标，供应商须委派授权代表参加。</w:t>
      </w:r>
    </w:p>
    <w:p>
      <w:pPr>
        <w:spacing w:line="360" w:lineRule="auto"/>
        <w:ind w:firstLine="480" w:firstLineChars="200"/>
        <w:rPr>
          <w:rFonts w:hint="eastAsia" w:ascii="宋体" w:hAnsi="宋体" w:cs="Courier New"/>
          <w:sz w:val="24"/>
        </w:rPr>
      </w:pPr>
      <w:r>
        <w:rPr>
          <w:rFonts w:hint="eastAsia" w:ascii="宋体" w:hAnsi="宋体" w:cs="Courier New"/>
          <w:sz w:val="24"/>
        </w:rPr>
        <w:t>2、开标时，应当由供应商或其推选的代表检查响应文件的密封情况。经确认无误后，由代理机构工作人员当众拆封，宣读供应商名称、投标价格、工期、质量、磋商文件允许提供的备选投标方案和响应文件的其他主要内容。未宣读的投标价格、磋商文件允许提供的备选投标方案等实质内容，评标时不予承认。</w:t>
      </w:r>
    </w:p>
    <w:p>
      <w:pPr>
        <w:spacing w:line="360" w:lineRule="auto"/>
        <w:ind w:firstLine="480" w:firstLineChars="200"/>
        <w:rPr>
          <w:rFonts w:hint="eastAsia" w:ascii="宋体" w:hAnsi="宋体" w:cs="Courier New"/>
          <w:sz w:val="24"/>
        </w:rPr>
      </w:pPr>
      <w:r>
        <w:rPr>
          <w:rFonts w:hint="eastAsia" w:ascii="宋体" w:hAnsi="宋体" w:cs="Courier New"/>
          <w:sz w:val="24"/>
        </w:rPr>
        <w:t>3、供应商法定代表人或授权代表未参加开标会议的视为自动弃权。响应文件有下列情况之一者将视为无效：</w:t>
      </w:r>
    </w:p>
    <w:p>
      <w:pPr>
        <w:spacing w:line="360" w:lineRule="auto"/>
        <w:ind w:firstLine="480" w:firstLineChars="200"/>
        <w:rPr>
          <w:rFonts w:hint="eastAsia" w:ascii="宋体" w:hAnsi="宋体" w:cs="Courier New"/>
          <w:sz w:val="24"/>
        </w:rPr>
      </w:pPr>
      <w:r>
        <w:rPr>
          <w:rFonts w:hint="eastAsia" w:ascii="宋体" w:hAnsi="宋体" w:cs="Courier New"/>
          <w:sz w:val="24"/>
        </w:rPr>
        <w:t>3.1响应文件未按规定标志、密封；</w:t>
      </w:r>
    </w:p>
    <w:p>
      <w:pPr>
        <w:spacing w:line="360" w:lineRule="auto"/>
        <w:ind w:firstLine="480" w:firstLineChars="200"/>
        <w:rPr>
          <w:rFonts w:hint="eastAsia" w:ascii="宋体" w:hAnsi="宋体" w:cs="Courier New"/>
          <w:sz w:val="24"/>
        </w:rPr>
      </w:pPr>
      <w:r>
        <w:rPr>
          <w:rFonts w:hint="eastAsia" w:ascii="宋体" w:hAnsi="宋体" w:cs="Courier New"/>
          <w:sz w:val="24"/>
        </w:rPr>
        <w:t>3.2未加盖投标单位公章；</w:t>
      </w:r>
    </w:p>
    <w:p>
      <w:pPr>
        <w:spacing w:line="360" w:lineRule="auto"/>
        <w:ind w:firstLine="480" w:firstLineChars="200"/>
        <w:rPr>
          <w:rFonts w:hint="eastAsia" w:ascii="宋体" w:hAnsi="宋体" w:cs="Courier New"/>
          <w:sz w:val="24"/>
        </w:rPr>
      </w:pPr>
      <w:r>
        <w:rPr>
          <w:rFonts w:hint="eastAsia" w:ascii="宋体" w:hAnsi="宋体" w:cs="Courier New"/>
          <w:sz w:val="24"/>
        </w:rPr>
        <w:t>3.3内容不全或字迹模糊辨认不清；</w:t>
      </w:r>
    </w:p>
    <w:p>
      <w:pPr>
        <w:spacing w:line="360" w:lineRule="auto"/>
        <w:ind w:firstLine="480" w:firstLineChars="200"/>
        <w:rPr>
          <w:rFonts w:hint="eastAsia" w:ascii="宋体" w:hAnsi="宋体" w:cs="Courier New"/>
          <w:sz w:val="24"/>
        </w:rPr>
      </w:pPr>
      <w:r>
        <w:rPr>
          <w:rFonts w:hint="eastAsia" w:ascii="宋体" w:hAnsi="宋体" w:cs="Courier New"/>
          <w:sz w:val="24"/>
        </w:rPr>
        <w:t>3.4投标截止时间以后送达的响应文件。</w:t>
      </w:r>
    </w:p>
    <w:p>
      <w:pPr>
        <w:pStyle w:val="5"/>
        <w:rPr>
          <w:rFonts w:hint="eastAsia" w:ascii="宋体" w:hAnsi="宋体" w:eastAsia="宋体" w:cs="宋体"/>
          <w:b/>
          <w:bCs/>
          <w:sz w:val="28"/>
          <w:szCs w:val="28"/>
        </w:rPr>
      </w:pPr>
      <w:bookmarkStart w:id="98" w:name="_Toc16296"/>
      <w:bookmarkStart w:id="99" w:name="_Toc137"/>
      <w:bookmarkStart w:id="100" w:name="_Toc30811"/>
      <w:bookmarkStart w:id="101" w:name="_Toc14578"/>
      <w:bookmarkStart w:id="102" w:name="_Toc9959"/>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、评标</w:t>
      </w:r>
      <w:bookmarkEnd w:id="98"/>
      <w:bookmarkEnd w:id="99"/>
      <w:bookmarkEnd w:id="100"/>
      <w:bookmarkEnd w:id="101"/>
      <w:bookmarkEnd w:id="102"/>
    </w:p>
    <w:p>
      <w:pPr>
        <w:spacing w:line="360" w:lineRule="auto"/>
        <w:ind w:firstLine="480" w:firstLineChars="200"/>
        <w:rPr>
          <w:rFonts w:hint="eastAsia" w:ascii="宋体" w:hAnsi="宋体" w:cs="Courier New"/>
          <w:sz w:val="24"/>
        </w:rPr>
      </w:pPr>
      <w:r>
        <w:rPr>
          <w:rFonts w:hint="eastAsia" w:ascii="宋体" w:hAnsi="宋体" w:cs="Courier New"/>
          <w:sz w:val="24"/>
        </w:rPr>
        <w:t>1、评标内容的保密</w:t>
      </w:r>
    </w:p>
    <w:p>
      <w:pPr>
        <w:spacing w:line="360" w:lineRule="auto"/>
        <w:ind w:firstLine="480" w:firstLineChars="200"/>
        <w:rPr>
          <w:rFonts w:hint="eastAsia" w:ascii="宋体" w:hAnsi="宋体" w:cs="Courier New"/>
          <w:sz w:val="24"/>
        </w:rPr>
      </w:pPr>
      <w:r>
        <w:rPr>
          <w:rFonts w:hint="eastAsia" w:ascii="宋体" w:hAnsi="宋体" w:cs="Courier New"/>
          <w:sz w:val="24"/>
        </w:rPr>
        <w:t>开标后，直到宣布成交人为止，凡属于审查、澄清、评价和比较投标的有关资料，和有关授予合同的信息都不应向供应商或与该过程无关的其他人泄露。重要技术参数凡带有排他性或歧视性的参数条款一律不作为评标依据。</w:t>
      </w:r>
    </w:p>
    <w:p>
      <w:pPr>
        <w:spacing w:line="360" w:lineRule="auto"/>
        <w:ind w:firstLine="480" w:firstLineChars="200"/>
        <w:rPr>
          <w:rFonts w:hint="eastAsia" w:ascii="宋体" w:hAnsi="宋体" w:cs="Courier New"/>
          <w:sz w:val="24"/>
        </w:rPr>
      </w:pPr>
      <w:r>
        <w:rPr>
          <w:rFonts w:hint="eastAsia" w:ascii="宋体" w:hAnsi="宋体" w:cs="Courier New"/>
          <w:sz w:val="24"/>
        </w:rPr>
        <w:t>2、响应文件的澄清</w:t>
      </w:r>
    </w:p>
    <w:p>
      <w:pPr>
        <w:spacing w:line="360" w:lineRule="auto"/>
        <w:ind w:firstLine="480" w:firstLineChars="200"/>
        <w:rPr>
          <w:rFonts w:hint="eastAsia" w:ascii="宋体" w:hAnsi="宋体" w:cs="Courier New"/>
          <w:sz w:val="24"/>
        </w:rPr>
      </w:pPr>
      <w:r>
        <w:rPr>
          <w:rFonts w:hint="eastAsia" w:ascii="宋体" w:hAnsi="宋体" w:cs="Courier New"/>
          <w:sz w:val="24"/>
        </w:rPr>
        <w:t>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int="eastAsia" w:ascii="宋体" w:hAnsi="宋体" w:cs="Courier New"/>
          <w:sz w:val="24"/>
        </w:rPr>
      </w:pPr>
      <w:r>
        <w:rPr>
          <w:rFonts w:hint="eastAsia" w:ascii="宋体" w:hAnsi="宋体" w:cs="Courier New"/>
          <w:sz w:val="24"/>
        </w:rPr>
        <w:t>2.2磋商小组要求供应商澄清、说明或者更正响应文件应当以书面形式作出。供应商的澄清、说明或者更正应当由法定代表人或其授权代表签字或者加盖公章。由授权代表签字的，应当附法定代表人授权书。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60" w:lineRule="auto"/>
        <w:ind w:firstLine="480" w:firstLineChars="200"/>
        <w:rPr>
          <w:rFonts w:hint="eastAsia" w:ascii="宋体" w:hAnsi="宋体" w:cs="Courier New"/>
          <w:sz w:val="24"/>
        </w:rPr>
      </w:pPr>
      <w:r>
        <w:rPr>
          <w:rFonts w:hint="eastAsia" w:ascii="宋体" w:hAnsi="宋体" w:cs="Courier New"/>
          <w:sz w:val="24"/>
        </w:rPr>
        <w:t>3、响应文件的符合性鉴定</w:t>
      </w:r>
    </w:p>
    <w:p>
      <w:pPr>
        <w:spacing w:line="360" w:lineRule="auto"/>
        <w:ind w:firstLine="480" w:firstLineChars="200"/>
        <w:rPr>
          <w:rFonts w:hint="eastAsia" w:ascii="宋体" w:hAnsi="宋体" w:cs="Courier New"/>
          <w:sz w:val="24"/>
        </w:rPr>
      </w:pPr>
      <w:r>
        <w:rPr>
          <w:rFonts w:hint="eastAsia" w:ascii="宋体" w:hAnsi="宋体" w:cs="Courier New"/>
          <w:sz w:val="24"/>
        </w:rPr>
        <w:t>3.1在详细评标之前，磋商小组将首先审定每份响应文件是否在实质上响应了磋商文件的要求。</w:t>
      </w:r>
    </w:p>
    <w:p>
      <w:pPr>
        <w:spacing w:line="360" w:lineRule="auto"/>
        <w:ind w:firstLine="480" w:firstLineChars="200"/>
        <w:rPr>
          <w:rFonts w:hint="eastAsia" w:ascii="宋体" w:hAnsi="宋体" w:cs="Courier New"/>
          <w:sz w:val="24"/>
        </w:rPr>
      </w:pPr>
      <w:r>
        <w:rPr>
          <w:rFonts w:hint="eastAsia" w:ascii="宋体" w:hAnsi="宋体" w:cs="Courier New"/>
          <w:sz w:val="24"/>
        </w:rPr>
        <w:t>3.2就本条款而言，实质上响应要求的响应文件，应该与磋商文件的所有规定要求、条件、条款和规范相符，无显著差异或保留。所谓显著差异或保留是指对工程的发包范围、质量标准及运用产生实质性影响；或者对合同中规定的采购人的权力及供应商的责任造成实质性限制；而且纠正这种差异或保留，将会对其他实质上响应要求的供应商的竞争地位产生不公正的影响。</w:t>
      </w:r>
    </w:p>
    <w:p>
      <w:pPr>
        <w:spacing w:line="360" w:lineRule="auto"/>
        <w:ind w:firstLine="480" w:firstLineChars="200"/>
        <w:rPr>
          <w:rFonts w:hint="eastAsia" w:ascii="宋体" w:hAnsi="宋体" w:cs="Courier New"/>
          <w:sz w:val="24"/>
        </w:rPr>
      </w:pPr>
      <w:r>
        <w:rPr>
          <w:rFonts w:hint="eastAsia" w:ascii="宋体" w:hAnsi="宋体" w:cs="Courier New"/>
          <w:sz w:val="24"/>
        </w:rPr>
        <w:t>3.3如果响应文件实质上不响应磋商文件的要求，采购人将予以拒绝，并且不允许修正或撤消不符合要求的差异或保留，使之成为实质性响应的投标。</w:t>
      </w:r>
    </w:p>
    <w:p>
      <w:pPr>
        <w:spacing w:line="360" w:lineRule="auto"/>
        <w:ind w:firstLine="480" w:firstLineChars="200"/>
        <w:rPr>
          <w:rFonts w:hint="eastAsia" w:ascii="宋体" w:hAnsi="宋体" w:cs="Courier New"/>
          <w:sz w:val="24"/>
        </w:rPr>
      </w:pPr>
      <w:r>
        <w:rPr>
          <w:rFonts w:hint="eastAsia" w:ascii="宋体" w:hAnsi="宋体" w:cs="Courier New"/>
          <w:sz w:val="24"/>
        </w:rPr>
        <w:t>4、错误的修正</w:t>
      </w:r>
    </w:p>
    <w:p>
      <w:pPr>
        <w:spacing w:line="360" w:lineRule="auto"/>
        <w:ind w:firstLine="480" w:firstLineChars="200"/>
        <w:rPr>
          <w:rFonts w:hint="eastAsia" w:ascii="宋体" w:hAnsi="宋体" w:cs="Courier New"/>
          <w:sz w:val="24"/>
        </w:rPr>
      </w:pPr>
      <w:r>
        <w:rPr>
          <w:rFonts w:hint="eastAsia" w:ascii="宋体" w:hAnsi="宋体" w:cs="Courier New"/>
          <w:sz w:val="24"/>
        </w:rPr>
        <w:t>4.1磋商小组将对确定为实质上响应磋商文件要求的响应文件进行校核，看其是否有计算上的错误或累计上的算术错误，修正错误的原则如下：</w:t>
      </w:r>
    </w:p>
    <w:p>
      <w:pPr>
        <w:spacing w:line="360" w:lineRule="auto"/>
        <w:ind w:firstLine="480" w:firstLineChars="200"/>
        <w:rPr>
          <w:rFonts w:hint="eastAsia" w:ascii="宋体" w:hAnsi="宋体" w:cs="Courier New"/>
          <w:sz w:val="24"/>
        </w:rPr>
      </w:pPr>
      <w:r>
        <w:rPr>
          <w:rFonts w:hint="eastAsia" w:ascii="宋体" w:hAnsi="宋体" w:cs="Courier New"/>
          <w:sz w:val="24"/>
        </w:rPr>
        <w:t>4.1.1如果用数字表示的数额与文字表示的数额不一致时，以文字数额为准。</w:t>
      </w:r>
    </w:p>
    <w:p>
      <w:pPr>
        <w:spacing w:line="360" w:lineRule="auto"/>
        <w:ind w:firstLine="480" w:firstLineChars="200"/>
        <w:rPr>
          <w:rFonts w:hint="eastAsia" w:ascii="宋体" w:hAnsi="宋体" w:cs="Courier New"/>
          <w:sz w:val="24"/>
        </w:rPr>
      </w:pPr>
      <w:r>
        <w:rPr>
          <w:rFonts w:hint="eastAsia" w:ascii="宋体" w:hAnsi="宋体" w:cs="Courier New"/>
          <w:sz w:val="24"/>
        </w:rPr>
        <w:t>4.1.2当单价与工程量的乘积与合价之间不一致时，通常以标出的单价为准。除非磋商小组认为有明显的小数点错位，此时应以标出的合价为准，并修改单价。</w:t>
      </w:r>
    </w:p>
    <w:p>
      <w:pPr>
        <w:spacing w:line="360" w:lineRule="auto"/>
        <w:ind w:firstLine="480" w:firstLineChars="200"/>
        <w:rPr>
          <w:rFonts w:hint="eastAsia" w:ascii="宋体" w:hAnsi="宋体" w:cs="Courier New"/>
          <w:sz w:val="24"/>
        </w:rPr>
      </w:pPr>
      <w:r>
        <w:rPr>
          <w:rFonts w:hint="eastAsia" w:ascii="宋体" w:hAnsi="宋体" w:cs="Courier New"/>
          <w:sz w:val="24"/>
        </w:rPr>
        <w:t>4.2按上述修改错误的方法，调整投标书中的投标报价。经供应商确认同意后，调整后的报价对投标单位起约束作用，如果供应商不接受修正后的投标报价则其投标将被拒绝，其磋商保证金将被没收。</w:t>
      </w:r>
    </w:p>
    <w:p>
      <w:pPr>
        <w:spacing w:line="360" w:lineRule="auto"/>
        <w:ind w:firstLine="480" w:firstLineChars="200"/>
        <w:rPr>
          <w:rFonts w:hint="eastAsia" w:ascii="宋体" w:hAnsi="宋体" w:cs="Courier New"/>
          <w:sz w:val="24"/>
        </w:rPr>
      </w:pPr>
      <w:r>
        <w:rPr>
          <w:rFonts w:hint="eastAsia" w:ascii="宋体" w:hAnsi="宋体" w:cs="Courier New"/>
          <w:sz w:val="24"/>
        </w:rPr>
        <w:t>5、响应文件的评价和比较</w:t>
      </w:r>
    </w:p>
    <w:p>
      <w:pPr>
        <w:spacing w:line="360" w:lineRule="auto"/>
        <w:ind w:firstLine="480" w:firstLineChars="200"/>
        <w:rPr>
          <w:rFonts w:hint="eastAsia" w:ascii="宋体" w:hAnsi="宋体" w:cs="Courier New"/>
          <w:sz w:val="24"/>
        </w:rPr>
      </w:pPr>
      <w:r>
        <w:rPr>
          <w:rFonts w:hint="eastAsia" w:ascii="宋体" w:hAnsi="宋体" w:cs="Courier New"/>
          <w:sz w:val="24"/>
        </w:rPr>
        <w:t>5.1磋商小组仅对实质上响应磋商文件要求的响应文件进行评价与比较。</w:t>
      </w:r>
    </w:p>
    <w:p>
      <w:pPr>
        <w:spacing w:line="360" w:lineRule="auto"/>
        <w:ind w:firstLine="480" w:firstLineChars="200"/>
        <w:rPr>
          <w:rFonts w:hint="eastAsia" w:ascii="宋体" w:hAnsi="宋体" w:cs="Courier New"/>
          <w:sz w:val="24"/>
        </w:rPr>
      </w:pPr>
      <w:r>
        <w:rPr>
          <w:rFonts w:hint="eastAsia" w:ascii="宋体" w:hAnsi="宋体" w:cs="Courier New"/>
          <w:sz w:val="24"/>
        </w:rPr>
        <w:t>5.2 磋商小组所有成员应当集中与单一供应商分别进行磋商，并给予所有参加磋商的供应商平等的磋商机会。</w:t>
      </w:r>
    </w:p>
    <w:p>
      <w:pPr>
        <w:spacing w:line="360" w:lineRule="auto"/>
        <w:ind w:firstLine="480" w:firstLineChars="200"/>
        <w:rPr>
          <w:rFonts w:hint="eastAsia" w:ascii="宋体" w:hAnsi="宋体" w:cs="Courier New"/>
          <w:sz w:val="24"/>
        </w:rPr>
      </w:pPr>
      <w:r>
        <w:rPr>
          <w:rFonts w:hint="eastAsia" w:ascii="宋体" w:hAnsi="宋体" w:cs="Courier New"/>
          <w:sz w:val="24"/>
        </w:rPr>
        <w:t>5.3在评价与比较时应按第</w:t>
      </w:r>
      <w:r>
        <w:rPr>
          <w:rFonts w:hint="eastAsia" w:ascii="宋体" w:hAnsi="宋体" w:cs="Courier New"/>
          <w:sz w:val="24"/>
          <w:lang w:val="en-US" w:eastAsia="zh-CN"/>
        </w:rPr>
        <w:t>四</w:t>
      </w:r>
      <w:r>
        <w:rPr>
          <w:rFonts w:hint="eastAsia" w:ascii="宋体" w:hAnsi="宋体" w:cs="Courier New"/>
          <w:sz w:val="24"/>
        </w:rPr>
        <w:t>章中规定的评标办法实施评标。</w:t>
      </w:r>
    </w:p>
    <w:p>
      <w:pPr>
        <w:spacing w:line="360" w:lineRule="auto"/>
        <w:ind w:firstLine="480" w:firstLineChars="200"/>
        <w:rPr>
          <w:rFonts w:hint="eastAsia" w:ascii="宋体" w:hAnsi="宋体" w:cs="Courier New"/>
          <w:sz w:val="24"/>
        </w:rPr>
      </w:pPr>
      <w:r>
        <w:rPr>
          <w:rFonts w:hint="eastAsia" w:ascii="宋体" w:hAnsi="宋体" w:cs="Courier New"/>
          <w:sz w:val="24"/>
        </w:rPr>
        <w:t>评标工作应为该项目专门组织，由采购人1人，专家库随机抽取专家2人共3人组成的磋商小组进行。</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6</w:t>
      </w:r>
      <w:r>
        <w:rPr>
          <w:rFonts w:hint="eastAsia" w:ascii="宋体" w:hAnsi="宋体" w:cs="Courier New"/>
          <w:sz w:val="24"/>
        </w:rPr>
        <w:t>、在招标采购中，出现下列情形之一的，采购人应当终止竞争性磋商采购活动，发布项目终止公告并说明原因，重新开展采购活动：</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6</w:t>
      </w:r>
      <w:r>
        <w:rPr>
          <w:rFonts w:hint="eastAsia" w:ascii="宋体" w:hAnsi="宋体" w:cs="Courier New"/>
          <w:sz w:val="24"/>
        </w:rPr>
        <w:t>.1因情况变化，不再符合规定的竞争性磋商采购方式适用情形的；</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6</w:t>
      </w:r>
      <w:r>
        <w:rPr>
          <w:rFonts w:hint="eastAsia" w:ascii="宋体" w:hAnsi="宋体" w:cs="Courier New"/>
          <w:sz w:val="24"/>
        </w:rPr>
        <w:t>.2出现影响采购公正的违法、违规行为的；</w:t>
      </w:r>
    </w:p>
    <w:p>
      <w:pPr>
        <w:pStyle w:val="5"/>
        <w:rPr>
          <w:rFonts w:hint="eastAsia" w:ascii="宋体" w:hAnsi="宋体" w:eastAsia="宋体" w:cs="宋体"/>
          <w:b/>
          <w:bCs/>
          <w:sz w:val="28"/>
          <w:szCs w:val="28"/>
        </w:rPr>
      </w:pPr>
      <w:bookmarkStart w:id="103" w:name="_Toc11892"/>
      <w:bookmarkStart w:id="104" w:name="_Toc14129"/>
      <w:bookmarkStart w:id="105" w:name="_Toc21257"/>
      <w:bookmarkStart w:id="106" w:name="_Toc15689"/>
      <w:bookmarkStart w:id="107" w:name="_Toc7235"/>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、授予合同</w:t>
      </w:r>
      <w:bookmarkEnd w:id="103"/>
      <w:bookmarkEnd w:id="104"/>
      <w:bookmarkEnd w:id="105"/>
      <w:bookmarkEnd w:id="106"/>
      <w:bookmarkEnd w:id="107"/>
    </w:p>
    <w:p>
      <w:pPr>
        <w:spacing w:line="360" w:lineRule="auto"/>
        <w:ind w:firstLine="480" w:firstLineChars="200"/>
        <w:rPr>
          <w:rFonts w:hint="eastAsia" w:ascii="宋体" w:hAnsi="宋体" w:cs="Courier New"/>
          <w:sz w:val="24"/>
        </w:rPr>
      </w:pPr>
      <w:r>
        <w:rPr>
          <w:rFonts w:hint="eastAsia" w:ascii="宋体" w:hAnsi="宋体" w:cs="Courier New"/>
          <w:sz w:val="24"/>
        </w:rPr>
        <w:t>1、成交</w:t>
      </w:r>
    </w:p>
    <w:p>
      <w:pPr>
        <w:spacing w:line="360" w:lineRule="auto"/>
        <w:ind w:firstLine="480" w:firstLineChars="200"/>
        <w:rPr>
          <w:rFonts w:hint="eastAsia" w:ascii="宋体" w:hAnsi="宋体" w:cs="Courier New"/>
          <w:sz w:val="24"/>
        </w:rPr>
      </w:pPr>
      <w:r>
        <w:rPr>
          <w:rFonts w:hint="eastAsia" w:ascii="宋体" w:hAnsi="宋体" w:cs="Courier New"/>
          <w:sz w:val="24"/>
        </w:rPr>
        <w:t>采购人将把合同授予其响应文件在实质上响应磋商文件要求，经磋商专家评选并确定成交的供应商，确定为成交的供应商必须具有实施本合同的能力和资源。</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2.</w:t>
      </w:r>
      <w:r>
        <w:rPr>
          <w:rFonts w:hint="eastAsia" w:ascii="宋体" w:hAnsi="宋体" w:cs="Courier New"/>
          <w:sz w:val="24"/>
        </w:rPr>
        <w:t>成交结果公布和成交通知书</w:t>
      </w:r>
    </w:p>
    <w:p>
      <w:pPr>
        <w:spacing w:line="360" w:lineRule="auto"/>
        <w:ind w:firstLine="480" w:firstLineChars="200"/>
        <w:rPr>
          <w:rFonts w:hint="eastAsia" w:ascii="宋体" w:hAnsi="宋体" w:cs="Courier New"/>
          <w:sz w:val="24"/>
        </w:rPr>
      </w:pPr>
      <w:r>
        <w:rPr>
          <w:rFonts w:hint="eastAsia" w:ascii="宋体" w:hAnsi="宋体" w:cs="Courier New"/>
          <w:sz w:val="24"/>
        </w:rPr>
        <w:t>2.1成交结果将通过书面形式告知每位参与本项目的供应商，通知内容包括项目名称、成交人名单、磋商小组成员名单、采购人名称和电话。</w:t>
      </w:r>
    </w:p>
    <w:p>
      <w:pPr>
        <w:spacing w:line="360" w:lineRule="auto"/>
        <w:ind w:firstLine="480" w:firstLineChars="200"/>
        <w:rPr>
          <w:rFonts w:hint="eastAsia" w:ascii="宋体" w:hAnsi="宋体" w:cs="Courier New"/>
          <w:sz w:val="24"/>
        </w:rPr>
      </w:pPr>
      <w:r>
        <w:rPr>
          <w:rFonts w:hint="eastAsia" w:ascii="宋体" w:hAnsi="宋体" w:cs="Courier New"/>
          <w:sz w:val="24"/>
        </w:rPr>
        <w:t>2.2 在发布成交结果的同时，采购人将向成交人发出成交通知书；成交通知书对采购人和成交人具有同等法律效力，并同时书面通知所有未成交人。</w:t>
      </w:r>
    </w:p>
    <w:p>
      <w:pPr>
        <w:spacing w:line="360" w:lineRule="auto"/>
        <w:ind w:firstLine="480" w:firstLineChars="200"/>
        <w:rPr>
          <w:rFonts w:hint="eastAsia" w:ascii="宋体" w:hAnsi="宋体" w:cs="Courier New"/>
          <w:sz w:val="24"/>
        </w:rPr>
      </w:pPr>
      <w:r>
        <w:rPr>
          <w:rFonts w:hint="eastAsia" w:ascii="宋体" w:hAnsi="宋体" w:cs="Courier New"/>
          <w:sz w:val="24"/>
        </w:rPr>
        <w:t>2.3成交通知书将成为合同的组成部分。</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3</w:t>
      </w:r>
      <w:r>
        <w:rPr>
          <w:rFonts w:hint="eastAsia" w:ascii="宋体" w:hAnsi="宋体" w:cs="Courier New"/>
          <w:sz w:val="24"/>
        </w:rPr>
        <w:t>、合同协议书的签署</w:t>
      </w:r>
    </w:p>
    <w:p>
      <w:pPr>
        <w:spacing w:line="360" w:lineRule="auto"/>
        <w:ind w:firstLine="480" w:firstLineChars="200"/>
        <w:rPr>
          <w:rFonts w:hint="eastAsia" w:ascii="宋体" w:hAnsi="宋体" w:cs="Courier New"/>
          <w:sz w:val="24"/>
        </w:rPr>
      </w:pPr>
      <w:r>
        <w:rPr>
          <w:rFonts w:hint="eastAsia" w:ascii="宋体" w:hAnsi="宋体" w:cs="Courier New"/>
          <w:sz w:val="24"/>
        </w:rPr>
        <w:t>成交单位按规定的时间和地点，由法定代表人或授权代表前往与采购人代表签定合同。</w:t>
      </w:r>
    </w:p>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4</w:t>
      </w:r>
      <w:r>
        <w:rPr>
          <w:rFonts w:hint="eastAsia" w:ascii="宋体" w:hAnsi="宋体" w:cs="Courier New"/>
          <w:sz w:val="24"/>
        </w:rPr>
        <w:t>. 合同款的支付</w:t>
      </w:r>
    </w:p>
    <w:p>
      <w:pPr>
        <w:spacing w:line="360" w:lineRule="auto"/>
        <w:ind w:firstLine="480" w:firstLineChars="200"/>
        <w:rPr>
          <w:rFonts w:hint="eastAsia" w:ascii="宋体" w:hAnsi="宋体" w:cs="Courier New"/>
          <w:sz w:val="24"/>
        </w:rPr>
      </w:pPr>
      <w:r>
        <w:rPr>
          <w:rFonts w:hint="eastAsia" w:ascii="宋体" w:hAnsi="宋体" w:cs="Courier New"/>
          <w:sz w:val="24"/>
        </w:rPr>
        <w:t>合同签订后，</w:t>
      </w:r>
      <w:r>
        <w:rPr>
          <w:rFonts w:hint="eastAsia" w:ascii="宋体" w:hAnsi="宋体" w:cs="Courier New"/>
          <w:sz w:val="24"/>
          <w:lang w:eastAsia="zh-CN"/>
        </w:rPr>
        <w:t>按中标价</w:t>
      </w:r>
      <w:r>
        <w:rPr>
          <w:rFonts w:hint="eastAsia" w:ascii="宋体" w:hAnsi="宋体" w:cs="Courier New"/>
          <w:sz w:val="24"/>
          <w:lang w:val="en-US" w:eastAsia="zh-CN"/>
        </w:rPr>
        <w:t>30%给成交人作为</w:t>
      </w:r>
      <w:r>
        <w:rPr>
          <w:rFonts w:hint="eastAsia" w:ascii="宋体" w:hAnsi="宋体" w:cs="Courier New"/>
          <w:sz w:val="24"/>
          <w:lang w:eastAsia="zh-CN"/>
        </w:rPr>
        <w:t>预付款，月余款待</w:t>
      </w:r>
      <w:r>
        <w:rPr>
          <w:rFonts w:hint="eastAsia" w:ascii="宋体" w:hAnsi="宋体" w:cs="Courier New"/>
          <w:sz w:val="24"/>
        </w:rPr>
        <w:t>交付</w:t>
      </w:r>
      <w:r>
        <w:rPr>
          <w:rFonts w:hint="eastAsia" w:ascii="宋体" w:hAnsi="宋体" w:cs="Courier New"/>
          <w:sz w:val="24"/>
          <w:lang w:eastAsia="zh-CN"/>
        </w:rPr>
        <w:t>工程及</w:t>
      </w:r>
      <w:r>
        <w:rPr>
          <w:rFonts w:hint="eastAsia" w:ascii="宋体" w:hAnsi="宋体" w:cs="Courier New"/>
          <w:sz w:val="24"/>
        </w:rPr>
        <w:t>服务并经验收合格后支付</w:t>
      </w:r>
      <w:r>
        <w:rPr>
          <w:rFonts w:hint="eastAsia" w:ascii="宋体" w:hAnsi="宋体" w:cs="Courier New"/>
          <w:sz w:val="24"/>
          <w:lang w:eastAsia="zh-CN"/>
        </w:rPr>
        <w:t>到</w:t>
      </w:r>
      <w:r>
        <w:rPr>
          <w:rFonts w:hint="eastAsia" w:ascii="宋体" w:hAnsi="宋体" w:cs="Courier New"/>
          <w:sz w:val="24"/>
        </w:rPr>
        <w:t>合同价款的9</w:t>
      </w:r>
      <w:r>
        <w:rPr>
          <w:rFonts w:hint="eastAsia" w:ascii="宋体" w:hAnsi="宋体" w:cs="Courier New"/>
          <w:sz w:val="24"/>
          <w:lang w:val="en-US" w:eastAsia="zh-CN"/>
        </w:rPr>
        <w:t>5</w:t>
      </w:r>
      <w:r>
        <w:rPr>
          <w:rFonts w:hint="eastAsia" w:ascii="宋体" w:hAnsi="宋体" w:cs="Courier New"/>
          <w:sz w:val="24"/>
        </w:rPr>
        <w:t>%，剩余</w:t>
      </w:r>
      <w:r>
        <w:rPr>
          <w:rFonts w:hint="eastAsia" w:ascii="宋体" w:hAnsi="宋体" w:cs="Courier New"/>
          <w:sz w:val="24"/>
          <w:lang w:val="en-US" w:eastAsia="zh-CN"/>
        </w:rPr>
        <w:t>5</w:t>
      </w:r>
      <w:r>
        <w:rPr>
          <w:rFonts w:hint="eastAsia" w:ascii="宋体" w:hAnsi="宋体" w:cs="Courier New"/>
          <w:sz w:val="24"/>
        </w:rPr>
        <w:t>%作为项目质保金，待项目交付完毕一年后无质量问题进行支付。</w:t>
      </w:r>
    </w:p>
    <w:p>
      <w:pPr>
        <w:pStyle w:val="5"/>
        <w:rPr>
          <w:rFonts w:hint="eastAsia" w:ascii="宋体" w:hAnsi="宋体" w:eastAsia="宋体" w:cs="宋体"/>
          <w:b/>
          <w:bCs/>
          <w:sz w:val="28"/>
          <w:szCs w:val="28"/>
        </w:rPr>
      </w:pPr>
      <w:bookmarkStart w:id="108" w:name="_Toc26563"/>
      <w:bookmarkStart w:id="109" w:name="_Toc15104"/>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、询问、质疑和投诉</w:t>
      </w:r>
      <w:bookmarkEnd w:id="108"/>
      <w:bookmarkEnd w:id="109"/>
    </w:p>
    <w:p>
      <w:pPr>
        <w:spacing w:line="360" w:lineRule="auto"/>
        <w:ind w:firstLine="480" w:firstLineChars="200"/>
        <w:rPr>
          <w:rFonts w:hint="eastAsia" w:ascii="宋体" w:hAnsi="宋体" w:cs="Courier New"/>
          <w:sz w:val="24"/>
        </w:rPr>
      </w:pPr>
      <w:r>
        <w:rPr>
          <w:rFonts w:hint="eastAsia" w:ascii="宋体" w:hAnsi="宋体" w:cs="Courier New"/>
          <w:sz w:val="24"/>
        </w:rPr>
        <w:t>1.询问</w:t>
      </w:r>
    </w:p>
    <w:p>
      <w:pPr>
        <w:spacing w:line="360" w:lineRule="auto"/>
        <w:ind w:firstLine="480" w:firstLineChars="200"/>
        <w:rPr>
          <w:rFonts w:hint="eastAsia" w:ascii="宋体" w:hAnsi="宋体" w:cs="Courier New"/>
          <w:sz w:val="24"/>
        </w:rPr>
      </w:pPr>
      <w:r>
        <w:rPr>
          <w:rFonts w:hint="eastAsia" w:ascii="宋体" w:hAnsi="宋体" w:cs="Courier New"/>
          <w:sz w:val="24"/>
        </w:rPr>
        <w:t>1.1供应商对采购活动事项有疑问的，可以向采购人提出询问。询问可以采取电话、信箱、当面询问或书面等形式。</w:t>
      </w:r>
    </w:p>
    <w:p>
      <w:pPr>
        <w:spacing w:line="360" w:lineRule="auto"/>
        <w:ind w:firstLine="480" w:firstLineChars="200"/>
        <w:rPr>
          <w:rFonts w:hint="eastAsia" w:ascii="宋体" w:hAnsi="宋体" w:cs="Courier New"/>
          <w:sz w:val="24"/>
        </w:rPr>
      </w:pPr>
      <w:r>
        <w:rPr>
          <w:rFonts w:hint="eastAsia" w:ascii="宋体" w:hAnsi="宋体" w:cs="Courier New"/>
          <w:sz w:val="24"/>
        </w:rPr>
        <w:t>1.2采购人应当及时对供应商依法提出的询问作出答复。</w:t>
      </w:r>
    </w:p>
    <w:p>
      <w:pPr>
        <w:spacing w:line="360" w:lineRule="auto"/>
        <w:ind w:firstLine="480" w:firstLineChars="200"/>
        <w:rPr>
          <w:rFonts w:hint="eastAsia" w:ascii="宋体" w:hAnsi="宋体" w:cs="Courier New"/>
          <w:sz w:val="24"/>
        </w:rPr>
      </w:pPr>
      <w:r>
        <w:rPr>
          <w:rFonts w:hint="eastAsia" w:ascii="宋体" w:hAnsi="宋体" w:cs="Courier New"/>
          <w:sz w:val="24"/>
        </w:rPr>
        <w:t>2.质疑</w:t>
      </w:r>
    </w:p>
    <w:p>
      <w:pPr>
        <w:spacing w:line="360" w:lineRule="auto"/>
        <w:ind w:firstLine="480" w:firstLineChars="200"/>
        <w:rPr>
          <w:rFonts w:hint="eastAsia" w:ascii="宋体" w:hAnsi="宋体" w:cs="Courier New"/>
          <w:sz w:val="24"/>
        </w:rPr>
      </w:pPr>
      <w:r>
        <w:rPr>
          <w:rFonts w:hint="eastAsia" w:ascii="宋体" w:hAnsi="宋体" w:cs="Courier New"/>
          <w:sz w:val="24"/>
        </w:rPr>
        <w:t>2.1供应商认为采购文件、采购过程、中标或者成交结果使自己的权益受到损害的，可以在知道或者应知其权益受到损害之日起7个工作日内，以书面形式向采购人提出质疑。</w:t>
      </w:r>
    </w:p>
    <w:p>
      <w:pPr>
        <w:spacing w:line="360" w:lineRule="auto"/>
        <w:ind w:firstLine="480" w:firstLineChars="200"/>
        <w:rPr>
          <w:rFonts w:hint="eastAsia" w:ascii="宋体" w:hAnsi="宋体" w:cs="Courier New"/>
          <w:sz w:val="24"/>
        </w:rPr>
      </w:pPr>
      <w:r>
        <w:rPr>
          <w:rFonts w:hint="eastAsia" w:ascii="宋体" w:hAnsi="宋体" w:cs="Courier New"/>
          <w:sz w:val="24"/>
        </w:rPr>
        <w:t>2.2供应商应在法定质疑期内一次性提出针对同一采购程序环节的所有质疑。</w:t>
      </w:r>
    </w:p>
    <w:p>
      <w:pPr>
        <w:spacing w:line="360" w:lineRule="auto"/>
        <w:ind w:firstLine="480" w:firstLineChars="200"/>
        <w:rPr>
          <w:rFonts w:hint="eastAsia" w:ascii="宋体" w:hAnsi="宋体" w:cs="Courier New"/>
          <w:sz w:val="24"/>
        </w:rPr>
      </w:pPr>
      <w:r>
        <w:rPr>
          <w:rFonts w:hint="eastAsia" w:ascii="宋体" w:hAnsi="宋体" w:cs="Courier New"/>
          <w:sz w:val="24"/>
        </w:rPr>
        <w:t>2.3供应商提出质疑应当提交质疑函和必要的证明材料。质疑函应当包括下列内容：</w:t>
      </w:r>
    </w:p>
    <w:p>
      <w:pPr>
        <w:spacing w:line="360" w:lineRule="auto"/>
        <w:ind w:firstLine="480" w:firstLineChars="200"/>
        <w:rPr>
          <w:rFonts w:hint="eastAsia" w:ascii="宋体" w:hAnsi="宋体" w:cs="Courier New"/>
          <w:sz w:val="24"/>
        </w:rPr>
      </w:pPr>
      <w:r>
        <w:rPr>
          <w:rFonts w:hint="eastAsia" w:ascii="宋体" w:hAnsi="宋体" w:cs="Courier New"/>
          <w:sz w:val="24"/>
        </w:rPr>
        <w:t>（1）供应商的姓名或者名称、地址、邮编、联系人及联系电话；</w:t>
      </w:r>
    </w:p>
    <w:p>
      <w:pPr>
        <w:spacing w:line="360" w:lineRule="auto"/>
        <w:ind w:firstLine="480" w:firstLineChars="200"/>
        <w:rPr>
          <w:rFonts w:hint="eastAsia" w:ascii="宋体" w:hAnsi="宋体" w:cs="Courier New"/>
          <w:sz w:val="24"/>
        </w:rPr>
      </w:pPr>
      <w:r>
        <w:rPr>
          <w:rFonts w:hint="eastAsia" w:ascii="宋体" w:hAnsi="宋体" w:cs="Courier New"/>
          <w:sz w:val="24"/>
        </w:rPr>
        <w:t>（2）质疑项目的名称、编号；</w:t>
      </w:r>
    </w:p>
    <w:p>
      <w:pPr>
        <w:spacing w:line="360" w:lineRule="auto"/>
        <w:ind w:firstLine="480" w:firstLineChars="200"/>
        <w:rPr>
          <w:rFonts w:hint="eastAsia" w:ascii="宋体" w:hAnsi="宋体" w:cs="Courier New"/>
          <w:sz w:val="24"/>
        </w:rPr>
      </w:pPr>
      <w:r>
        <w:rPr>
          <w:rFonts w:hint="eastAsia" w:ascii="宋体" w:hAnsi="宋体" w:cs="Courier New"/>
          <w:sz w:val="24"/>
        </w:rPr>
        <w:t>（3）具体、明确的质疑事项和与质疑事项相关的请求；</w:t>
      </w:r>
    </w:p>
    <w:p>
      <w:pPr>
        <w:spacing w:line="360" w:lineRule="auto"/>
        <w:ind w:firstLine="480" w:firstLineChars="200"/>
        <w:rPr>
          <w:rFonts w:hint="eastAsia" w:ascii="宋体" w:hAnsi="宋体" w:cs="Courier New"/>
          <w:sz w:val="24"/>
        </w:rPr>
      </w:pPr>
      <w:r>
        <w:rPr>
          <w:rFonts w:hint="eastAsia" w:ascii="宋体" w:hAnsi="宋体" w:cs="Courier New"/>
          <w:sz w:val="24"/>
        </w:rPr>
        <w:t>（4）事实依据；</w:t>
      </w:r>
    </w:p>
    <w:p>
      <w:pPr>
        <w:spacing w:line="360" w:lineRule="auto"/>
        <w:ind w:firstLine="480" w:firstLineChars="200"/>
        <w:rPr>
          <w:rFonts w:hint="eastAsia" w:ascii="宋体" w:hAnsi="宋体" w:cs="Courier New"/>
          <w:sz w:val="24"/>
        </w:rPr>
      </w:pPr>
      <w:r>
        <w:rPr>
          <w:rFonts w:hint="eastAsia" w:ascii="宋体" w:hAnsi="宋体" w:cs="Courier New"/>
          <w:sz w:val="24"/>
        </w:rPr>
        <w:t>（5）必要的法律依据；</w:t>
      </w:r>
    </w:p>
    <w:p>
      <w:pPr>
        <w:spacing w:line="360" w:lineRule="auto"/>
        <w:ind w:firstLine="480" w:firstLineChars="200"/>
        <w:rPr>
          <w:rFonts w:hint="eastAsia" w:ascii="宋体" w:hAnsi="宋体" w:cs="Courier New"/>
          <w:sz w:val="24"/>
        </w:rPr>
      </w:pPr>
      <w:r>
        <w:rPr>
          <w:rFonts w:hint="eastAsia" w:ascii="宋体" w:hAnsi="宋体" w:cs="Courier New"/>
          <w:sz w:val="24"/>
        </w:rPr>
        <w:t>（6）提出质疑的日期。</w:t>
      </w:r>
    </w:p>
    <w:p>
      <w:pPr>
        <w:spacing w:line="360" w:lineRule="auto"/>
        <w:ind w:firstLine="480" w:firstLineChars="200"/>
        <w:rPr>
          <w:rFonts w:hint="eastAsia" w:ascii="宋体" w:hAnsi="宋体" w:cs="Courier New"/>
          <w:sz w:val="24"/>
        </w:rPr>
      </w:pPr>
      <w:r>
        <w:rPr>
          <w:rFonts w:hint="eastAsia" w:ascii="宋体" w:hAnsi="宋体" w:cs="Courier New"/>
          <w:sz w:val="24"/>
        </w:rPr>
        <w:t>2.4质疑人提起质疑应当符合下列条件：</w:t>
      </w:r>
    </w:p>
    <w:p>
      <w:pPr>
        <w:spacing w:line="360" w:lineRule="auto"/>
        <w:ind w:firstLine="480" w:firstLineChars="200"/>
        <w:rPr>
          <w:rFonts w:hint="eastAsia" w:ascii="宋体" w:hAnsi="宋体" w:cs="Courier New"/>
          <w:sz w:val="24"/>
        </w:rPr>
      </w:pPr>
      <w:r>
        <w:rPr>
          <w:rFonts w:hint="eastAsia" w:ascii="宋体" w:hAnsi="宋体" w:cs="Courier New"/>
          <w:sz w:val="24"/>
        </w:rPr>
        <w:t>（1）质疑人是参与所质疑项目采购活动的供应商；</w:t>
      </w:r>
    </w:p>
    <w:p>
      <w:pPr>
        <w:spacing w:line="360" w:lineRule="auto"/>
        <w:ind w:firstLine="480" w:firstLineChars="200"/>
        <w:rPr>
          <w:rFonts w:hint="eastAsia" w:ascii="宋体" w:hAnsi="宋体" w:cs="Courier New"/>
          <w:sz w:val="24"/>
        </w:rPr>
      </w:pPr>
      <w:r>
        <w:rPr>
          <w:rFonts w:hint="eastAsia" w:ascii="宋体" w:hAnsi="宋体" w:cs="Courier New"/>
          <w:sz w:val="24"/>
        </w:rPr>
        <w:t>（2）质疑函的内容和形式符合规定，有效线索和相关证据齐全；</w:t>
      </w:r>
    </w:p>
    <w:p>
      <w:pPr>
        <w:spacing w:line="360" w:lineRule="auto"/>
        <w:ind w:firstLine="480" w:firstLineChars="200"/>
        <w:rPr>
          <w:rFonts w:hint="eastAsia" w:ascii="宋体" w:hAnsi="宋体" w:cs="Courier New"/>
          <w:sz w:val="24"/>
        </w:rPr>
      </w:pPr>
      <w:r>
        <w:rPr>
          <w:rFonts w:hint="eastAsia" w:ascii="宋体" w:hAnsi="宋体" w:cs="Courier New"/>
          <w:sz w:val="24"/>
        </w:rPr>
        <w:t>（3）在质疑有效期限内提起质疑；</w:t>
      </w:r>
    </w:p>
    <w:p>
      <w:pPr>
        <w:spacing w:line="360" w:lineRule="auto"/>
        <w:ind w:firstLine="480" w:firstLineChars="200"/>
        <w:rPr>
          <w:rFonts w:hint="eastAsia" w:ascii="宋体" w:hAnsi="宋体" w:cs="Courier New"/>
          <w:sz w:val="24"/>
        </w:rPr>
      </w:pPr>
      <w:r>
        <w:rPr>
          <w:rFonts w:hint="eastAsia" w:ascii="宋体" w:hAnsi="宋体" w:cs="Courier New"/>
          <w:sz w:val="24"/>
        </w:rPr>
        <w:t>（4）有关法律、行政法规、财政部规章规定的其他条件。</w:t>
      </w:r>
    </w:p>
    <w:p>
      <w:pPr>
        <w:spacing w:line="360" w:lineRule="auto"/>
        <w:ind w:firstLine="480" w:firstLineChars="200"/>
        <w:rPr>
          <w:rFonts w:hint="eastAsia" w:ascii="宋体" w:hAnsi="宋体" w:cs="Courier New"/>
          <w:sz w:val="24"/>
        </w:rPr>
      </w:pPr>
      <w:r>
        <w:rPr>
          <w:rFonts w:hint="eastAsia" w:ascii="宋体" w:hAnsi="宋体" w:cs="Courier New"/>
          <w:sz w:val="24"/>
        </w:rPr>
        <w:t>2.5供应商质疑处理流程根据《政府采购质疑和投诉办法》（中华人民共和国财政部令第94号）执行，质疑函标准格式要求参照财政部发布质疑函和投诉书正式范本。</w:t>
      </w:r>
    </w:p>
    <w:p>
      <w:pPr>
        <w:spacing w:line="360" w:lineRule="auto"/>
        <w:ind w:firstLine="480" w:firstLineChars="200"/>
        <w:rPr>
          <w:rFonts w:hint="eastAsia" w:ascii="宋体" w:hAnsi="宋体" w:cs="Courier New"/>
          <w:sz w:val="24"/>
          <w:lang w:val="en-US" w:eastAsia="zh-CN"/>
        </w:rPr>
      </w:pPr>
      <w:r>
        <w:rPr>
          <w:rFonts w:hint="eastAsia" w:ascii="宋体" w:hAnsi="宋体" w:cs="Courier New"/>
          <w:sz w:val="24"/>
        </w:rPr>
        <w:t>2.</w:t>
      </w:r>
      <w:r>
        <w:rPr>
          <w:rFonts w:hint="eastAsia" w:ascii="宋体" w:hAnsi="宋体" w:cs="Courier New"/>
          <w:sz w:val="24"/>
          <w:lang w:val="en-US" w:eastAsia="zh-CN"/>
        </w:rPr>
        <w:t>6</w:t>
      </w:r>
      <w:r>
        <w:rPr>
          <w:rFonts w:hint="eastAsia" w:ascii="宋体" w:hAnsi="宋体" w:cs="Courier New"/>
          <w:sz w:val="24"/>
        </w:rPr>
        <w:t>采购人、采购代理机构不得拒收质疑供应商在法定质疑期内发出的质疑函，应当在收到质疑函后7个工作日内作出答复，并以书面形式通知质疑人和其他有关供应商。</w:t>
      </w:r>
    </w:p>
    <w:p>
      <w:pPr>
        <w:spacing w:line="360" w:lineRule="auto"/>
        <w:ind w:firstLine="480" w:firstLineChars="200"/>
        <w:rPr>
          <w:rFonts w:hint="eastAsia" w:ascii="宋体" w:hAnsi="宋体" w:cs="Courier New"/>
          <w:sz w:val="24"/>
          <w:lang w:val="en-US" w:eastAsia="zh-CN"/>
        </w:rPr>
      </w:pPr>
    </w:p>
    <w:p>
      <w:pPr>
        <w:spacing w:line="360" w:lineRule="auto"/>
        <w:ind w:firstLine="480" w:firstLineChars="200"/>
        <w:rPr>
          <w:rFonts w:hint="eastAsia" w:ascii="宋体" w:hAnsi="宋体" w:cs="Courier New"/>
          <w:sz w:val="24"/>
          <w:lang w:val="en-US" w:eastAsia="zh-CN"/>
        </w:rPr>
      </w:pPr>
    </w:p>
    <w:p>
      <w:pPr>
        <w:spacing w:line="360" w:lineRule="auto"/>
        <w:ind w:firstLine="480" w:firstLineChars="200"/>
        <w:rPr>
          <w:rFonts w:hint="eastAsia" w:ascii="宋体" w:hAnsi="宋体" w:cs="Courier New"/>
          <w:sz w:val="24"/>
          <w:lang w:val="en-US" w:eastAsia="zh-CN"/>
        </w:rPr>
      </w:pPr>
    </w:p>
    <w:p>
      <w:pPr>
        <w:spacing w:line="360" w:lineRule="auto"/>
        <w:ind w:firstLine="480" w:firstLineChars="200"/>
        <w:rPr>
          <w:rFonts w:hint="eastAsia" w:ascii="宋体" w:hAnsi="宋体" w:cs="Courier New"/>
          <w:sz w:val="24"/>
          <w:lang w:val="en-US" w:eastAsia="zh-CN"/>
        </w:rPr>
      </w:pPr>
    </w:p>
    <w:p>
      <w:pPr>
        <w:spacing w:line="360" w:lineRule="auto"/>
        <w:ind w:firstLine="480" w:firstLineChars="200"/>
        <w:rPr>
          <w:rFonts w:hint="eastAsia" w:ascii="宋体" w:hAnsi="宋体" w:cs="Courier New"/>
          <w:sz w:val="24"/>
          <w:lang w:val="en-US" w:eastAsia="zh-CN"/>
        </w:rPr>
      </w:pPr>
    </w:p>
    <w:p>
      <w:pPr>
        <w:spacing w:line="360" w:lineRule="auto"/>
        <w:ind w:firstLine="480" w:firstLineChars="200"/>
        <w:rPr>
          <w:rFonts w:hint="eastAsia" w:ascii="宋体" w:hAnsi="宋体" w:cs="Courier New"/>
          <w:sz w:val="24"/>
          <w:lang w:val="en-US" w:eastAsia="zh-CN"/>
        </w:rPr>
      </w:pPr>
    </w:p>
    <w:p>
      <w:pPr>
        <w:pStyle w:val="2"/>
        <w:rPr>
          <w:rFonts w:hint="eastAsia" w:ascii="宋体" w:hAnsi="宋体" w:cs="Courier New"/>
          <w:sz w:val="24"/>
          <w:lang w:val="en-US" w:eastAsia="zh-CN"/>
        </w:rPr>
      </w:pPr>
    </w:p>
    <w:p>
      <w:pPr>
        <w:pStyle w:val="2"/>
        <w:rPr>
          <w:rFonts w:hint="eastAsia" w:ascii="宋体" w:hAnsi="宋体" w:cs="Courier New"/>
          <w:sz w:val="24"/>
          <w:lang w:val="en-US" w:eastAsia="zh-CN"/>
        </w:rPr>
      </w:pPr>
    </w:p>
    <w:p>
      <w:pPr>
        <w:pStyle w:val="2"/>
        <w:rPr>
          <w:rFonts w:hint="eastAsia" w:ascii="宋体" w:hAnsi="宋体" w:cs="Courier New"/>
          <w:sz w:val="24"/>
          <w:lang w:val="en-US" w:eastAsia="zh-CN"/>
        </w:rPr>
      </w:pPr>
    </w:p>
    <w:p>
      <w:pPr>
        <w:pStyle w:val="2"/>
        <w:rPr>
          <w:rFonts w:hint="eastAsia" w:ascii="宋体" w:hAnsi="宋体" w:cs="Courier New"/>
          <w:sz w:val="24"/>
          <w:lang w:val="en-US" w:eastAsia="zh-CN"/>
        </w:rPr>
      </w:pPr>
    </w:p>
    <w:p>
      <w:pPr>
        <w:pStyle w:val="2"/>
        <w:rPr>
          <w:rFonts w:hint="eastAsia" w:ascii="宋体" w:hAnsi="宋体" w:cs="Courier New"/>
          <w:sz w:val="24"/>
          <w:lang w:val="en-US" w:eastAsia="zh-CN"/>
        </w:rPr>
      </w:pPr>
    </w:p>
    <w:p>
      <w:pPr>
        <w:pStyle w:val="9"/>
        <w:spacing w:line="360" w:lineRule="auto"/>
        <w:jc w:val="both"/>
        <w:rPr>
          <w:rFonts w:hint="eastAsia" w:hAnsi="宋体"/>
          <w:b/>
          <w:sz w:val="36"/>
          <w:szCs w:val="36"/>
          <w:lang w:val="en-US" w:eastAsia="zh-CN"/>
        </w:rPr>
      </w:pPr>
    </w:p>
    <w:p>
      <w:pPr>
        <w:pStyle w:val="9"/>
        <w:spacing w:line="360" w:lineRule="auto"/>
        <w:jc w:val="center"/>
        <w:outlineLvl w:val="0"/>
        <w:rPr>
          <w:rFonts w:hint="eastAsia" w:hAnsi="宋体"/>
          <w:b/>
          <w:sz w:val="36"/>
          <w:szCs w:val="36"/>
          <w:lang w:val="en-US" w:eastAsia="zh-CN"/>
        </w:rPr>
      </w:pPr>
      <w:bookmarkStart w:id="110" w:name="_Toc32065"/>
      <w:r>
        <w:rPr>
          <w:rFonts w:hint="eastAsia" w:hAnsi="宋体"/>
          <w:b/>
          <w:sz w:val="36"/>
          <w:szCs w:val="36"/>
          <w:lang w:val="en-US" w:eastAsia="zh-CN"/>
        </w:rPr>
        <w:t>第四章 评标方法和标准</w:t>
      </w:r>
      <w:bookmarkEnd w:id="110"/>
    </w:p>
    <w:p>
      <w:pPr>
        <w:spacing w:line="360" w:lineRule="auto"/>
        <w:ind w:firstLine="480" w:firstLineChars="200"/>
        <w:rPr>
          <w:rFonts w:hint="eastAsia" w:ascii="宋体" w:hAnsi="宋体" w:cs="Courier New"/>
          <w:sz w:val="24"/>
        </w:rPr>
      </w:pPr>
      <w:r>
        <w:rPr>
          <w:rFonts w:hint="eastAsia" w:ascii="宋体" w:hAnsi="宋体" w:cs="Courier New"/>
          <w:sz w:val="24"/>
        </w:rPr>
        <w:t>本评分办法及定标原则，在开标前经评标委员会讨论通过，在评标过程中不做任何变更。评标委员会评标定标遵循公开、公平、公正、竞争的原则，本项目按照投标人综合得分情况排序，排名第一的为中标人。</w:t>
      </w:r>
    </w:p>
    <w:p>
      <w:pPr>
        <w:spacing w:line="360" w:lineRule="auto"/>
        <w:ind w:firstLine="480" w:firstLineChars="200"/>
        <w:rPr>
          <w:rFonts w:hint="eastAsia" w:ascii="宋体" w:hAnsi="宋体" w:cs="Courier New"/>
          <w:sz w:val="24"/>
        </w:rPr>
      </w:pPr>
      <w:r>
        <w:rPr>
          <w:rFonts w:hint="eastAsia" w:ascii="宋体" w:hAnsi="宋体" w:cs="Courier New"/>
          <w:sz w:val="24"/>
        </w:rPr>
        <w:t>评标内容由方案、报价、工期、施工组织设计，</w:t>
      </w:r>
      <w:r>
        <w:rPr>
          <w:rFonts w:hint="eastAsia" w:ascii="宋体" w:hAnsi="宋体" w:cs="Courier New"/>
          <w:sz w:val="24"/>
          <w:lang w:val="en-US" w:eastAsia="zh-CN"/>
        </w:rPr>
        <w:t>售后服务</w:t>
      </w:r>
      <w:r>
        <w:rPr>
          <w:rFonts w:hint="eastAsia" w:ascii="宋体" w:hAnsi="宋体" w:cs="Courier New"/>
          <w:sz w:val="24"/>
        </w:rPr>
        <w:t>等组成，总评分为100分，评分标准如下：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215"/>
        <w:gridCol w:w="900"/>
        <w:gridCol w:w="750"/>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94"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r>
              <w:rPr>
                <w:rFonts w:hint="eastAsia"/>
                <w:szCs w:val="21"/>
              </w:rPr>
              <w:t>序号</w:t>
            </w:r>
          </w:p>
        </w:tc>
        <w:tc>
          <w:tcPr>
            <w:tcW w:w="1215"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r>
              <w:rPr>
                <w:rFonts w:hint="eastAsia"/>
                <w:szCs w:val="21"/>
              </w:rPr>
              <w:t>评审内容</w:t>
            </w:r>
          </w:p>
        </w:tc>
        <w:tc>
          <w:tcPr>
            <w:tcW w:w="90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r>
              <w:rPr>
                <w:rFonts w:hint="eastAsia"/>
                <w:szCs w:val="21"/>
              </w:rPr>
              <w:t>标准分</w:t>
            </w:r>
          </w:p>
        </w:tc>
        <w:tc>
          <w:tcPr>
            <w:tcW w:w="6761" w:type="dxa"/>
            <w:gridSpan w:val="2"/>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eastAsia="宋体" w:cs="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eastAsia="宋体"/>
                <w:szCs w:val="21"/>
                <w:lang w:val="en-US" w:eastAsia="zh-CN"/>
              </w:rPr>
            </w:pPr>
            <w:r>
              <w:rPr>
                <w:rFonts w:hint="eastAsia"/>
                <w:szCs w:val="21"/>
                <w:lang w:val="en-US" w:eastAsia="zh-CN"/>
              </w:rPr>
              <w:t>1</w:t>
            </w:r>
          </w:p>
        </w:tc>
        <w:tc>
          <w:tcPr>
            <w:tcW w:w="1215"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r>
              <w:rPr>
                <w:rFonts w:hint="eastAsia"/>
                <w:szCs w:val="21"/>
              </w:rPr>
              <w:t>投标报价</w:t>
            </w:r>
          </w:p>
        </w:tc>
        <w:tc>
          <w:tcPr>
            <w:tcW w:w="90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r>
              <w:rPr>
                <w:rFonts w:hint="eastAsia"/>
                <w:szCs w:val="21"/>
                <w:lang w:val="en-US" w:eastAsia="zh-CN"/>
              </w:rPr>
              <w:t>5</w:t>
            </w:r>
            <w:r>
              <w:rPr>
                <w:szCs w:val="21"/>
              </w:rPr>
              <w:t>0</w:t>
            </w:r>
            <w:r>
              <w:rPr>
                <w:rFonts w:hint="eastAsia"/>
                <w:szCs w:val="21"/>
              </w:rPr>
              <w:t>分</w:t>
            </w:r>
          </w:p>
        </w:tc>
        <w:tc>
          <w:tcPr>
            <w:tcW w:w="6761" w:type="dxa"/>
            <w:gridSpan w:val="2"/>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r>
              <w:rPr>
                <w:rFonts w:hint="eastAsia" w:ascii="宋体" w:hAnsi="宋体" w:eastAsia="宋体" w:cs="宋体"/>
              </w:rPr>
              <w:t>投标人的价格分统一按下列公式计算：投标报价得分＝（评标基准价/投标报价）×</w:t>
            </w:r>
            <w:r>
              <w:rPr>
                <w:rFonts w:hint="eastAsia" w:ascii="宋体" w:hAnsi="宋体" w:cs="宋体"/>
                <w:lang w:val="en-US" w:eastAsia="zh-CN"/>
              </w:rPr>
              <w:t>5</w:t>
            </w:r>
            <w:r>
              <w:rPr>
                <w:rFonts w:hint="eastAsia" w:ascii="宋体" w:hAnsi="宋体" w:eastAsia="宋体" w:cs="宋体"/>
              </w:rPr>
              <w:t>0。投标基准价是指满足招标文件要求且报价最低的投标报价做为评标基准价。除低于成本价的投标人被拒接外，最低报价得满分</w:t>
            </w:r>
            <w:r>
              <w:rPr>
                <w:rFonts w:hint="eastAsia" w:ascii="宋体" w:hAnsi="宋体" w:cs="宋体"/>
                <w:lang w:val="en-US" w:eastAsia="zh-CN"/>
              </w:rPr>
              <w:t>5</w:t>
            </w:r>
            <w:r>
              <w:rPr>
                <w:rFonts w:hint="eastAsia" w:ascii="宋体" w:hAnsi="宋体" w:eastAsia="宋体" w:cs="宋体"/>
              </w:rPr>
              <w:t>0分。得分结果由高分到低分依次排列为各自最终得分。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restart"/>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eastAsia="宋体"/>
                <w:szCs w:val="21"/>
                <w:lang w:val="en-US" w:eastAsia="zh-CN"/>
              </w:rPr>
            </w:pPr>
            <w:r>
              <w:rPr>
                <w:rFonts w:hint="eastAsia"/>
                <w:szCs w:val="21"/>
                <w:lang w:val="en-US" w:eastAsia="zh-CN"/>
              </w:rPr>
              <w:t>2</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eastAsia="宋体" w:cs="宋体"/>
                <w:szCs w:val="21"/>
              </w:rPr>
              <w:t xml:space="preserve">设计方案 </w:t>
            </w:r>
          </w:p>
        </w:tc>
        <w:tc>
          <w:tcPr>
            <w:tcW w:w="900" w:type="dxa"/>
            <w:vMerge w:val="restart"/>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eastAsia="宋体" w:cs="宋体"/>
                <w:szCs w:val="21"/>
              </w:rPr>
              <w:t>40分</w:t>
            </w: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lang w:eastAsia="zh-CN"/>
              </w:rPr>
            </w:pPr>
            <w:r>
              <w:rPr>
                <w:rFonts w:hint="eastAsia" w:ascii="宋体" w:hAnsi="宋体" w:cs="宋体"/>
                <w:szCs w:val="21"/>
                <w:lang w:val="en-US" w:eastAsia="zh-CN"/>
              </w:rPr>
              <w:t>10</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rPr>
            </w:pPr>
            <w:r>
              <w:rPr>
                <w:rFonts w:hint="eastAsia" w:ascii="宋体" w:hAnsi="宋体" w:eastAsia="宋体" w:cs="宋体"/>
                <w:bCs/>
                <w:szCs w:val="21"/>
              </w:rPr>
              <w:t>要求设计成具备可视化、情景化</w:t>
            </w:r>
            <w:r>
              <w:rPr>
                <w:rFonts w:hint="eastAsia" w:ascii="宋体" w:hAnsi="宋体" w:cs="宋体"/>
                <w:bCs/>
                <w:szCs w:val="21"/>
                <w:lang w:val="en-US" w:eastAsia="zh-CN"/>
              </w:rPr>
              <w:t>流通追溯</w:t>
            </w:r>
            <w:r>
              <w:rPr>
                <w:rFonts w:hint="eastAsia" w:ascii="宋体" w:hAnsi="宋体" w:eastAsia="宋体" w:cs="宋体"/>
                <w:bCs/>
                <w:szCs w:val="21"/>
              </w:rPr>
              <w:t>模式。（0</w:t>
            </w:r>
            <w:r>
              <w:rPr>
                <w:rFonts w:hint="eastAsia" w:ascii="宋体" w:hAnsi="宋体" w:eastAsia="宋体" w:cs="宋体"/>
                <w:bCs/>
                <w:szCs w:val="21"/>
                <w:lang w:val="en-US" w:eastAsia="zh-CN"/>
              </w:rPr>
              <w:t>-</w:t>
            </w:r>
            <w:r>
              <w:rPr>
                <w:rFonts w:hint="eastAsia" w:ascii="宋体" w:hAnsi="宋体" w:cs="宋体"/>
                <w:bCs/>
                <w:szCs w:val="21"/>
                <w:lang w:val="en-US" w:eastAsia="zh-CN"/>
              </w:rPr>
              <w:t>10</w:t>
            </w:r>
            <w:r>
              <w:rPr>
                <w:rFonts w:hint="eastAsia" w:ascii="宋体" w:hAnsi="宋体" w:eastAsia="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cs="宋体"/>
                <w:szCs w:val="21"/>
                <w:lang w:val="en-US" w:eastAsia="zh-CN"/>
              </w:rPr>
              <w:t>10</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rPr>
            </w:pPr>
            <w:r>
              <w:rPr>
                <w:rFonts w:hint="eastAsia" w:ascii="宋体" w:hAnsi="宋体" w:eastAsia="宋体" w:cs="宋体"/>
                <w:bCs/>
                <w:szCs w:val="21"/>
              </w:rPr>
              <w:t>满足宁职</w:t>
            </w:r>
            <w:r>
              <w:rPr>
                <w:rFonts w:hint="eastAsia" w:ascii="宋体" w:hAnsi="宋体" w:cs="宋体"/>
                <w:bCs/>
                <w:szCs w:val="21"/>
                <w:lang w:val="en-US" w:eastAsia="zh-CN"/>
              </w:rPr>
              <w:t>生命科技</w:t>
            </w:r>
            <w:r>
              <w:rPr>
                <w:rFonts w:hint="eastAsia" w:ascii="宋体" w:hAnsi="宋体" w:eastAsia="宋体" w:cs="宋体"/>
                <w:bCs/>
                <w:szCs w:val="21"/>
              </w:rPr>
              <w:t>学院</w:t>
            </w:r>
            <w:r>
              <w:rPr>
                <w:rFonts w:hint="eastAsia" w:ascii="宋体" w:hAnsi="宋体" w:cs="宋体"/>
                <w:bCs/>
                <w:szCs w:val="21"/>
                <w:lang w:val="en-US" w:eastAsia="zh-CN"/>
              </w:rPr>
              <w:t>流通追溯平台的追溯、流通、展示、模拟等情景化的需求。</w:t>
            </w:r>
            <w:r>
              <w:rPr>
                <w:rFonts w:hint="eastAsia" w:ascii="宋体" w:hAnsi="宋体" w:eastAsia="宋体" w:cs="宋体"/>
                <w:bCs/>
                <w:szCs w:val="21"/>
              </w:rPr>
              <w:t>（0-</w:t>
            </w:r>
            <w:r>
              <w:rPr>
                <w:rFonts w:hint="eastAsia" w:ascii="宋体" w:hAnsi="宋体" w:cs="宋体"/>
                <w:bCs/>
                <w:szCs w:val="21"/>
                <w:lang w:val="en-US" w:eastAsia="zh-CN"/>
              </w:rPr>
              <w:t>10</w:t>
            </w:r>
            <w:r>
              <w:rPr>
                <w:rFonts w:hint="eastAsia" w:ascii="宋体" w:hAnsi="宋体" w:eastAsia="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cs="宋体"/>
                <w:szCs w:val="21"/>
                <w:lang w:val="en-US" w:eastAsia="zh-CN"/>
              </w:rPr>
              <w:t>10</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rPr>
            </w:pPr>
            <w:r>
              <w:rPr>
                <w:rFonts w:hint="eastAsia" w:ascii="宋体" w:hAnsi="宋体" w:eastAsia="宋体" w:cs="宋体"/>
                <w:bCs/>
                <w:szCs w:val="21"/>
              </w:rPr>
              <w:t>通</w:t>
            </w:r>
            <w:r>
              <w:rPr>
                <w:rFonts w:hint="eastAsia" w:ascii="宋体" w:hAnsi="宋体" w:eastAsia="宋体" w:cs="宋体"/>
                <w:color w:val="000000"/>
                <w:szCs w:val="21"/>
              </w:rPr>
              <w:t>过对</w:t>
            </w:r>
            <w:r>
              <w:rPr>
                <w:rFonts w:hint="eastAsia" w:ascii="宋体" w:hAnsi="宋体" w:cs="宋体"/>
                <w:color w:val="000000"/>
                <w:szCs w:val="21"/>
                <w:lang w:val="en-US" w:eastAsia="zh-CN"/>
              </w:rPr>
              <w:t>室内空间</w:t>
            </w:r>
            <w:r>
              <w:rPr>
                <w:rFonts w:hint="eastAsia" w:ascii="宋体" w:hAnsi="宋体" w:eastAsia="宋体" w:cs="宋体"/>
                <w:bCs/>
                <w:szCs w:val="21"/>
              </w:rPr>
              <w:t>设计</w:t>
            </w:r>
            <w:r>
              <w:rPr>
                <w:rFonts w:hint="eastAsia" w:ascii="宋体" w:hAnsi="宋体" w:cs="宋体"/>
                <w:bCs/>
                <w:szCs w:val="21"/>
                <w:lang w:eastAsia="zh-CN"/>
              </w:rPr>
              <w:t>，</w:t>
            </w:r>
            <w:r>
              <w:rPr>
                <w:rFonts w:hint="eastAsia" w:ascii="宋体" w:hAnsi="宋体" w:eastAsia="宋体" w:cs="宋体"/>
                <w:bCs/>
                <w:szCs w:val="21"/>
              </w:rPr>
              <w:t>满足</w:t>
            </w:r>
            <w:r>
              <w:rPr>
                <w:rFonts w:hint="eastAsia" w:ascii="宋体" w:hAnsi="宋体" w:cs="宋体"/>
                <w:bCs/>
                <w:szCs w:val="21"/>
                <w:lang w:val="en-US" w:eastAsia="zh-CN"/>
              </w:rPr>
              <w:t>生命科技</w:t>
            </w:r>
            <w:r>
              <w:rPr>
                <w:rFonts w:hint="eastAsia" w:ascii="宋体" w:hAnsi="宋体" w:eastAsia="宋体" w:cs="宋体"/>
                <w:bCs/>
                <w:szCs w:val="21"/>
              </w:rPr>
              <w:t>学院</w:t>
            </w:r>
            <w:r>
              <w:rPr>
                <w:rFonts w:hint="eastAsia" w:ascii="宋体" w:hAnsi="宋体" w:cs="宋体"/>
                <w:bCs/>
                <w:szCs w:val="21"/>
                <w:lang w:val="en-US" w:eastAsia="zh-CN"/>
              </w:rPr>
              <w:t>学院</w:t>
            </w:r>
            <w:r>
              <w:rPr>
                <w:rFonts w:hint="eastAsia" w:ascii="宋体" w:hAnsi="宋体" w:eastAsia="宋体" w:cs="宋体"/>
                <w:bCs/>
                <w:szCs w:val="21"/>
              </w:rPr>
              <w:t>特色</w:t>
            </w:r>
            <w:r>
              <w:rPr>
                <w:rFonts w:hint="eastAsia" w:ascii="宋体" w:hAnsi="宋体" w:cs="宋体"/>
                <w:bCs/>
                <w:szCs w:val="21"/>
                <w:lang w:eastAsia="zh-CN"/>
              </w:rPr>
              <w:t>；</w:t>
            </w:r>
            <w:r>
              <w:rPr>
                <w:rFonts w:hint="eastAsia" w:ascii="宋体" w:hAnsi="宋体" w:cs="宋体"/>
                <w:bCs/>
                <w:szCs w:val="21"/>
                <w:lang w:val="en-US" w:eastAsia="zh-CN"/>
              </w:rPr>
              <w:t>满足农产品</w:t>
            </w:r>
            <w:r>
              <w:rPr>
                <w:rFonts w:hint="eastAsia" w:ascii="宋体" w:hAnsi="宋体" w:eastAsia="宋体" w:cs="宋体"/>
                <w:bCs/>
                <w:szCs w:val="21"/>
              </w:rPr>
              <w:t>展示需求。（0</w:t>
            </w:r>
            <w:r>
              <w:rPr>
                <w:rFonts w:hint="eastAsia" w:ascii="宋体" w:hAnsi="宋体" w:eastAsia="宋体" w:cs="宋体"/>
                <w:bCs/>
                <w:color w:val="auto"/>
                <w:szCs w:val="21"/>
              </w:rPr>
              <w:t>-</w:t>
            </w:r>
            <w:r>
              <w:rPr>
                <w:rFonts w:hint="eastAsia" w:ascii="宋体" w:hAnsi="宋体" w:cs="宋体"/>
                <w:bCs/>
                <w:color w:val="auto"/>
                <w:szCs w:val="21"/>
                <w:highlight w:val="none"/>
                <w:lang w:val="en-US" w:eastAsia="zh-CN"/>
              </w:rPr>
              <w:t>10</w:t>
            </w:r>
            <w:r>
              <w:rPr>
                <w:rFonts w:hint="eastAsia" w:ascii="宋体" w:hAnsi="宋体" w:eastAsia="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cs="宋体"/>
                <w:szCs w:val="21"/>
                <w:lang w:val="en-US" w:eastAsia="zh-CN"/>
              </w:rPr>
              <w:t>10</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rPr>
            </w:pPr>
            <w:r>
              <w:rPr>
                <w:rFonts w:hint="eastAsia" w:ascii="宋体" w:hAnsi="宋体" w:cs="宋体"/>
                <w:bCs/>
                <w:szCs w:val="21"/>
                <w:lang w:val="en-US" w:eastAsia="zh-CN"/>
              </w:rPr>
              <w:t>满足消防安全需要</w:t>
            </w:r>
            <w:r>
              <w:rPr>
                <w:rFonts w:hint="eastAsia" w:ascii="宋体" w:hAnsi="宋体" w:eastAsia="宋体" w:cs="宋体"/>
                <w:bCs/>
                <w:szCs w:val="21"/>
              </w:rPr>
              <w:t>（0-</w:t>
            </w:r>
            <w:r>
              <w:rPr>
                <w:rFonts w:hint="eastAsia" w:ascii="宋体" w:hAnsi="宋体" w:cs="宋体"/>
                <w:bCs/>
                <w:szCs w:val="21"/>
                <w:lang w:val="en-US" w:eastAsia="zh-CN"/>
              </w:rPr>
              <w:t>10</w:t>
            </w:r>
            <w:r>
              <w:rPr>
                <w:rFonts w:hint="eastAsia" w:ascii="宋体" w:hAnsi="宋体" w:eastAsia="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restart"/>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eastAsia="宋体"/>
                <w:szCs w:val="21"/>
                <w:lang w:val="en-US" w:eastAsia="zh-CN"/>
              </w:rPr>
            </w:pPr>
            <w:r>
              <w:rPr>
                <w:rFonts w:hint="eastAsia"/>
                <w:szCs w:val="21"/>
                <w:lang w:val="en-US" w:eastAsia="zh-CN"/>
              </w:rPr>
              <w:t>3</w:t>
            </w:r>
          </w:p>
        </w:tc>
        <w:tc>
          <w:tcPr>
            <w:tcW w:w="1215" w:type="dxa"/>
            <w:vMerge w:val="restart"/>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施工组织方案</w:t>
            </w:r>
          </w:p>
        </w:tc>
        <w:tc>
          <w:tcPr>
            <w:tcW w:w="900" w:type="dxa"/>
            <w:vMerge w:val="restart"/>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cs="宋体"/>
                <w:szCs w:val="21"/>
                <w:lang w:val="en-US" w:eastAsia="zh-CN"/>
              </w:rPr>
              <w:t>7</w:t>
            </w:r>
            <w:r>
              <w:rPr>
                <w:rFonts w:hint="eastAsia" w:ascii="宋体" w:hAnsi="宋体" w:eastAsia="宋体" w:cs="宋体"/>
                <w:szCs w:val="21"/>
              </w:rPr>
              <w:t>分</w:t>
            </w: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lang w:eastAsia="zh-CN"/>
              </w:rPr>
            </w:pPr>
            <w:r>
              <w:rPr>
                <w:rFonts w:hint="eastAsia" w:ascii="宋体" w:hAnsi="宋体" w:cs="宋体"/>
                <w:szCs w:val="21"/>
                <w:lang w:val="en-US" w:eastAsia="zh-CN"/>
              </w:rPr>
              <w:t>1</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lang w:eastAsia="zh-CN"/>
              </w:rPr>
            </w:pPr>
            <w:r>
              <w:rPr>
                <w:rFonts w:hint="eastAsia" w:ascii="宋体" w:hAnsi="宋体" w:eastAsia="宋体" w:cs="宋体"/>
                <w:szCs w:val="21"/>
              </w:rPr>
              <w:t>进度计划及工程保障措施</w:t>
            </w:r>
            <w:r>
              <w:rPr>
                <w:rFonts w:hint="eastAsia" w:ascii="宋体" w:hAnsi="宋体" w:cs="宋体"/>
                <w:szCs w:val="21"/>
                <w:lang w:eastAsia="zh-CN"/>
              </w:rPr>
              <w:t>；</w:t>
            </w:r>
            <w:r>
              <w:rPr>
                <w:rFonts w:hint="eastAsia" w:ascii="宋体" w:hAnsi="宋体" w:eastAsia="宋体" w:cs="宋体"/>
                <w:szCs w:val="21"/>
              </w:rPr>
              <w:t>可靠1分；不可靠0分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 w:val="21"/>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cs="宋体"/>
                <w:szCs w:val="21"/>
                <w:lang w:val="en-US" w:eastAsia="zh-CN"/>
              </w:rPr>
              <w:t>1</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lang w:eastAsia="zh-CN"/>
              </w:rPr>
            </w:pPr>
            <w:r>
              <w:rPr>
                <w:rFonts w:hint="eastAsia" w:ascii="宋体" w:hAnsi="宋体" w:eastAsia="宋体" w:cs="宋体"/>
                <w:szCs w:val="21"/>
              </w:rPr>
              <w:t>施工方案</w:t>
            </w:r>
            <w:r>
              <w:rPr>
                <w:rFonts w:hint="eastAsia" w:ascii="宋体" w:hAnsi="宋体" w:cs="宋体"/>
                <w:szCs w:val="21"/>
                <w:lang w:eastAsia="zh-CN"/>
              </w:rPr>
              <w:t>；</w:t>
            </w:r>
            <w:r>
              <w:rPr>
                <w:rFonts w:hint="eastAsia" w:ascii="宋体" w:hAnsi="宋体" w:eastAsia="宋体" w:cs="宋体"/>
                <w:szCs w:val="21"/>
              </w:rPr>
              <w:t>可靠1分；不可靠0分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 w:val="21"/>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cs="宋体"/>
                <w:szCs w:val="21"/>
                <w:lang w:val="en-US" w:eastAsia="zh-CN"/>
              </w:rPr>
              <w:t>1</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rPr>
            </w:pPr>
            <w:r>
              <w:rPr>
                <w:rFonts w:hint="eastAsia" w:ascii="宋体" w:hAnsi="宋体" w:eastAsia="宋体" w:cs="宋体"/>
                <w:szCs w:val="21"/>
              </w:rPr>
              <w:t>文明措施完善</w:t>
            </w:r>
            <w:r>
              <w:rPr>
                <w:rFonts w:hint="eastAsia" w:ascii="宋体" w:hAnsi="宋体" w:cs="宋体"/>
                <w:szCs w:val="21"/>
                <w:lang w:eastAsia="zh-CN"/>
              </w:rPr>
              <w:t>，</w:t>
            </w:r>
            <w:r>
              <w:rPr>
                <w:rFonts w:hint="eastAsia" w:ascii="宋体" w:hAnsi="宋体" w:cs="宋体"/>
                <w:szCs w:val="21"/>
                <w:lang w:val="en-US" w:eastAsia="zh-CN"/>
              </w:rPr>
              <w:t>不影响教学活动</w:t>
            </w:r>
            <w:r>
              <w:rPr>
                <w:rFonts w:hint="eastAsia" w:ascii="宋体" w:hAnsi="宋体" w:cs="宋体"/>
                <w:szCs w:val="21"/>
                <w:lang w:eastAsia="zh-CN"/>
              </w:rPr>
              <w:t>；</w:t>
            </w:r>
            <w:r>
              <w:rPr>
                <w:rFonts w:hint="eastAsia" w:ascii="宋体" w:hAnsi="宋体" w:eastAsia="宋体" w:cs="宋体"/>
                <w:szCs w:val="21"/>
              </w:rPr>
              <w:t>可靠1分；不可靠0分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 w:val="21"/>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cs="宋体"/>
                <w:szCs w:val="21"/>
                <w:lang w:val="en-US" w:eastAsia="zh-CN"/>
              </w:rPr>
              <w:t>1</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szCs w:val="21"/>
              </w:rPr>
            </w:pPr>
            <w:r>
              <w:rPr>
                <w:rFonts w:hint="eastAsia" w:ascii="宋体" w:hAnsi="宋体" w:eastAsia="宋体" w:cs="宋体"/>
                <w:szCs w:val="21"/>
              </w:rPr>
              <w:t>安全措施。可靠1分；不可靠0分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 w:val="21"/>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szCs w:val="21"/>
              </w:rPr>
            </w:pPr>
            <w:r>
              <w:rPr>
                <w:rFonts w:hint="eastAsia" w:ascii="宋体" w:hAnsi="宋体" w:eastAsia="宋体" w:cs="宋体"/>
                <w:szCs w:val="21"/>
              </w:rPr>
              <w:t>质量保证措施。可靠1分；不可靠0分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 w:val="21"/>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rPr>
            </w:pPr>
            <w:r>
              <w:rPr>
                <w:rFonts w:hint="eastAsia" w:ascii="宋体" w:hAnsi="宋体" w:eastAsia="宋体" w:cs="宋体"/>
                <w:szCs w:val="21"/>
              </w:rPr>
              <w:t>主要材料、构配件计划。合理1分</w:t>
            </w:r>
            <w:r>
              <w:rPr>
                <w:rFonts w:hint="eastAsia" w:ascii="宋体" w:hAnsi="宋体" w:eastAsia="宋体" w:cs="宋体"/>
                <w:szCs w:val="21"/>
                <w:lang w:eastAsia="zh-CN"/>
              </w:rPr>
              <w:t>；</w:t>
            </w:r>
            <w:r>
              <w:rPr>
                <w:rFonts w:hint="eastAsia" w:ascii="宋体" w:hAnsi="宋体" w:eastAsia="宋体" w:cs="宋体"/>
                <w:szCs w:val="21"/>
              </w:rPr>
              <w:t>不合理0分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vMerge w:val="continue"/>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p>
        </w:tc>
        <w:tc>
          <w:tcPr>
            <w:tcW w:w="1215"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 w:val="21"/>
                <w:szCs w:val="21"/>
              </w:rPr>
            </w:pPr>
          </w:p>
        </w:tc>
        <w:tc>
          <w:tcPr>
            <w:tcW w:w="900" w:type="dxa"/>
            <w:vMerge w:val="continue"/>
            <w:noWrap w:val="0"/>
            <w:vAlign w:val="top"/>
          </w:tcPr>
          <w:p>
            <w:pPr>
              <w:keepNext w:val="0"/>
              <w:keepLines w:val="0"/>
              <w:pageBreakBefore w:val="0"/>
              <w:kinsoku/>
              <w:wordWrap/>
              <w:overflowPunct/>
              <w:topLinePunct w:val="0"/>
              <w:autoSpaceDE/>
              <w:autoSpaceDN/>
              <w:bidi w:val="0"/>
              <w:adjustRightInd/>
              <w:snapToGrid/>
              <w:spacing w:beforeLines="50" w:line="360" w:lineRule="exact"/>
              <w:textAlignment w:val="auto"/>
              <w:outlineLvl w:val="9"/>
              <w:rPr>
                <w:rFonts w:hint="eastAsia" w:ascii="宋体" w:hAnsi="宋体" w:eastAsia="宋体" w:cs="宋体"/>
                <w:szCs w:val="21"/>
              </w:rPr>
            </w:pPr>
          </w:p>
        </w:tc>
        <w:tc>
          <w:tcPr>
            <w:tcW w:w="75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分</w:t>
            </w:r>
          </w:p>
        </w:tc>
        <w:tc>
          <w:tcPr>
            <w:tcW w:w="6011"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both"/>
              <w:textAlignment w:val="auto"/>
              <w:outlineLvl w:val="9"/>
              <w:rPr>
                <w:rFonts w:hint="eastAsia" w:ascii="宋体" w:hAnsi="宋体" w:eastAsia="宋体" w:cs="宋体"/>
                <w:bCs/>
                <w:szCs w:val="21"/>
              </w:rPr>
            </w:pPr>
            <w:r>
              <w:rPr>
                <w:rFonts w:hint="eastAsia" w:ascii="宋体" w:hAnsi="宋体" w:eastAsia="宋体" w:cs="宋体"/>
                <w:szCs w:val="21"/>
              </w:rPr>
              <w:t>劳动力安排。合理1分；不合理</w:t>
            </w:r>
            <w:r>
              <w:rPr>
                <w:rFonts w:hint="eastAsia" w:ascii="宋体" w:hAnsi="宋体" w:cs="宋体"/>
                <w:szCs w:val="21"/>
                <w:lang w:val="en-US" w:eastAsia="zh-CN"/>
              </w:rPr>
              <w:t>0</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4"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rFonts w:hint="eastAsia" w:eastAsia="宋体"/>
                <w:szCs w:val="21"/>
                <w:lang w:val="en-US" w:eastAsia="zh-CN"/>
              </w:rPr>
            </w:pPr>
            <w:r>
              <w:rPr>
                <w:rFonts w:hint="eastAsia"/>
                <w:szCs w:val="21"/>
                <w:lang w:val="en-US" w:eastAsia="zh-CN"/>
              </w:rPr>
              <w:t>4</w:t>
            </w:r>
          </w:p>
        </w:tc>
        <w:tc>
          <w:tcPr>
            <w:tcW w:w="1215"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 w:val="21"/>
                <w:szCs w:val="21"/>
              </w:rPr>
            </w:pPr>
            <w:r>
              <w:rPr>
                <w:rFonts w:hint="eastAsia"/>
                <w:sz w:val="21"/>
                <w:szCs w:val="21"/>
              </w:rPr>
              <w:t>售后服务</w:t>
            </w:r>
          </w:p>
        </w:tc>
        <w:tc>
          <w:tcPr>
            <w:tcW w:w="900" w:type="dxa"/>
            <w:noWrap w:val="0"/>
            <w:vAlign w:val="center"/>
          </w:tcPr>
          <w:p>
            <w:pPr>
              <w:keepNext w:val="0"/>
              <w:keepLines w:val="0"/>
              <w:pageBreakBefore w:val="0"/>
              <w:kinsoku/>
              <w:wordWrap/>
              <w:overflowPunct/>
              <w:topLinePunct w:val="0"/>
              <w:autoSpaceDE/>
              <w:autoSpaceDN/>
              <w:bidi w:val="0"/>
              <w:adjustRightInd/>
              <w:snapToGrid/>
              <w:spacing w:beforeLines="50" w:line="360" w:lineRule="exact"/>
              <w:jc w:val="center"/>
              <w:textAlignment w:val="auto"/>
              <w:outlineLvl w:val="9"/>
              <w:rPr>
                <w:szCs w:val="21"/>
              </w:rPr>
            </w:pPr>
            <w:r>
              <w:rPr>
                <w:rFonts w:hint="eastAsia"/>
                <w:color w:val="auto"/>
                <w:szCs w:val="21"/>
                <w:highlight w:val="none"/>
                <w:lang w:val="en-US" w:eastAsia="zh-CN"/>
              </w:rPr>
              <w:t>3</w:t>
            </w:r>
            <w:r>
              <w:rPr>
                <w:rFonts w:hint="eastAsia"/>
                <w:color w:val="auto"/>
                <w:szCs w:val="21"/>
                <w:highlight w:val="none"/>
              </w:rPr>
              <w:t>分</w:t>
            </w:r>
          </w:p>
        </w:tc>
        <w:tc>
          <w:tcPr>
            <w:tcW w:w="676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outlineLvl w:val="9"/>
              <w:rPr>
                <w:rFonts w:hint="eastAsia" w:ascii="宋体" w:hAnsi="宋体" w:eastAsia="宋体" w:cs="宋体"/>
                <w:b/>
                <w:szCs w:val="21"/>
              </w:rPr>
            </w:pPr>
            <w:r>
              <w:rPr>
                <w:rFonts w:hint="eastAsia" w:ascii="宋体" w:hAnsi="宋体" w:eastAsia="宋体" w:cs="宋体"/>
                <w:b/>
                <w:szCs w:val="21"/>
              </w:rPr>
              <w:t>质量达到合格标准，否则视为无效投标。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Cs/>
                <w:szCs w:val="21"/>
              </w:rPr>
            </w:pPr>
            <w:r>
              <w:rPr>
                <w:rFonts w:hint="eastAsia" w:ascii="宋体" w:hAnsi="宋体" w:eastAsia="宋体" w:cs="宋体"/>
                <w:color w:val="000000"/>
                <w:szCs w:val="21"/>
              </w:rPr>
              <w:t>投标</w:t>
            </w:r>
            <w:r>
              <w:rPr>
                <w:rFonts w:hint="eastAsia" w:ascii="宋体" w:hAnsi="宋体" w:cs="宋体"/>
                <w:color w:val="000000"/>
                <w:szCs w:val="21"/>
                <w:lang w:eastAsia="zh-CN"/>
              </w:rPr>
              <w:t>人</w:t>
            </w:r>
            <w:r>
              <w:rPr>
                <w:rFonts w:hint="eastAsia" w:ascii="宋体" w:hAnsi="宋体" w:eastAsia="宋体" w:cs="宋体"/>
                <w:color w:val="000000"/>
                <w:szCs w:val="21"/>
              </w:rPr>
              <w:t>承诺对施工内容维修接到维修通知2小时内到达现场，24小时解决问题得</w:t>
            </w:r>
            <w:r>
              <w:rPr>
                <w:rFonts w:hint="eastAsia" w:ascii="宋体" w:hAnsi="宋体" w:cs="宋体"/>
                <w:color w:val="000000"/>
                <w:szCs w:val="21"/>
                <w:highlight w:val="none"/>
                <w:lang w:val="en-US" w:eastAsia="zh-CN"/>
              </w:rPr>
              <w:t>3</w:t>
            </w:r>
            <w:r>
              <w:rPr>
                <w:rFonts w:hint="eastAsia" w:ascii="宋体" w:hAnsi="宋体" w:eastAsia="宋体" w:cs="宋体"/>
                <w:color w:val="000000"/>
                <w:szCs w:val="21"/>
                <w:highlight w:val="none"/>
              </w:rPr>
              <w:t>分</w:t>
            </w:r>
            <w:r>
              <w:rPr>
                <w:rFonts w:hint="eastAsia" w:ascii="宋体" w:hAnsi="宋体" w:eastAsia="宋体" w:cs="宋体"/>
                <w:color w:val="000000"/>
                <w:szCs w:val="21"/>
              </w:rPr>
              <w:t>；承诺要切实可行。满足得</w:t>
            </w:r>
            <w:r>
              <w:rPr>
                <w:rFonts w:hint="eastAsia" w:ascii="宋体" w:hAnsi="宋体" w:cs="宋体"/>
                <w:color w:val="000000"/>
                <w:szCs w:val="21"/>
                <w:lang w:val="en-US" w:eastAsia="zh-CN"/>
              </w:rPr>
              <w:t>3</w:t>
            </w:r>
            <w:r>
              <w:rPr>
                <w:rFonts w:hint="eastAsia" w:ascii="宋体" w:hAnsi="宋体" w:eastAsia="宋体" w:cs="宋体"/>
                <w:color w:val="000000"/>
                <w:szCs w:val="21"/>
              </w:rPr>
              <w:t>分，不满足不得分。</w:t>
            </w:r>
          </w:p>
        </w:tc>
      </w:tr>
    </w:tbl>
    <w:p>
      <w:pPr>
        <w:pStyle w:val="9"/>
        <w:spacing w:line="360" w:lineRule="auto"/>
        <w:ind w:firstLine="424" w:firstLineChars="177"/>
        <w:rPr>
          <w:rFonts w:hint="eastAsia" w:hAnsi="宋体"/>
          <w:sz w:val="24"/>
          <w:szCs w:val="24"/>
        </w:rPr>
      </w:pPr>
    </w:p>
    <w:p>
      <w:pPr>
        <w:pStyle w:val="9"/>
        <w:spacing w:line="360" w:lineRule="auto"/>
        <w:jc w:val="both"/>
        <w:rPr>
          <w:rFonts w:hint="eastAsia" w:hAnsi="宋体"/>
          <w:b/>
          <w:sz w:val="36"/>
          <w:szCs w:val="36"/>
          <w:lang w:val="en-US" w:eastAsia="zh-CN"/>
        </w:rPr>
      </w:pPr>
      <w:bookmarkStart w:id="150" w:name="_GoBack"/>
      <w:bookmarkEnd w:id="150"/>
    </w:p>
    <w:p>
      <w:pPr>
        <w:pStyle w:val="9"/>
        <w:spacing w:line="360" w:lineRule="auto"/>
        <w:jc w:val="center"/>
        <w:outlineLvl w:val="0"/>
        <w:rPr>
          <w:rFonts w:hint="eastAsia" w:hAnsi="宋体"/>
          <w:b/>
          <w:sz w:val="36"/>
          <w:szCs w:val="36"/>
          <w:lang w:val="en-US" w:eastAsia="en-US"/>
        </w:rPr>
      </w:pPr>
      <w:bookmarkStart w:id="111" w:name="_Toc32388"/>
      <w:r>
        <w:rPr>
          <w:rFonts w:hint="eastAsia" w:hAnsi="宋体"/>
          <w:b/>
          <w:sz w:val="36"/>
          <w:szCs w:val="36"/>
          <w:lang w:val="en-US" w:eastAsia="zh-CN"/>
        </w:rPr>
        <w:t xml:space="preserve">第五章 </w:t>
      </w:r>
      <w:r>
        <w:rPr>
          <w:rFonts w:hint="eastAsia" w:hAnsi="宋体"/>
          <w:b/>
          <w:sz w:val="36"/>
          <w:szCs w:val="36"/>
          <w:lang w:val="en-US" w:eastAsia="en-US"/>
        </w:rPr>
        <w:t>技术要求</w:t>
      </w:r>
      <w:bookmarkEnd w:id="111"/>
    </w:p>
    <w:tbl>
      <w:tblPr>
        <w:tblStyle w:val="15"/>
        <w:tblW w:w="9099" w:type="dxa"/>
        <w:tblInd w:w="0" w:type="dxa"/>
        <w:tblLayout w:type="fixed"/>
        <w:tblCellMar>
          <w:top w:w="0" w:type="dxa"/>
          <w:left w:w="0" w:type="dxa"/>
          <w:bottom w:w="0" w:type="dxa"/>
          <w:right w:w="0" w:type="dxa"/>
        </w:tblCellMar>
      </w:tblPr>
      <w:tblGrid>
        <w:gridCol w:w="851"/>
        <w:gridCol w:w="1925"/>
        <w:gridCol w:w="1159"/>
        <w:gridCol w:w="872"/>
        <w:gridCol w:w="4292"/>
      </w:tblGrid>
      <w:tr>
        <w:tblPrEx>
          <w:tblCellMar>
            <w:top w:w="0" w:type="dxa"/>
            <w:left w:w="0" w:type="dxa"/>
            <w:bottom w:w="0" w:type="dxa"/>
            <w:right w:w="0" w:type="dxa"/>
          </w:tblCellMar>
        </w:tblPrEx>
        <w:trPr>
          <w:trHeight w:val="942" w:hRule="atLeast"/>
        </w:trPr>
        <w:tc>
          <w:tcPr>
            <w:tcW w:w="9099"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项目设计概述：</w:t>
            </w:r>
            <w:r>
              <w:rPr>
                <w:rFonts w:hint="eastAsia" w:ascii="宋体" w:hAnsi="宋体" w:cs="Courier New"/>
                <w:sz w:val="24"/>
                <w:lang w:val="en-US" w:eastAsia="zh-CN"/>
              </w:rPr>
              <w:t>项目建设内容主要包括：对现代农业综合公共实训中心一楼B101，面积131㎡进行装修改造，包括电路改造、吊顶、墙面、地面、展示柜制作等。</w:t>
            </w:r>
          </w:p>
        </w:tc>
      </w:tr>
      <w:tr>
        <w:tblPrEx>
          <w:tblCellMar>
            <w:top w:w="0" w:type="dxa"/>
            <w:left w:w="0" w:type="dxa"/>
            <w:bottom w:w="0" w:type="dxa"/>
            <w:right w:w="0" w:type="dxa"/>
          </w:tblCellMar>
        </w:tblPrEx>
        <w:trPr>
          <w:trHeight w:val="702" w:hRule="atLeast"/>
        </w:trPr>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序号</w:t>
            </w:r>
          </w:p>
        </w:tc>
        <w:tc>
          <w:tcPr>
            <w:tcW w:w="19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项目名称</w:t>
            </w:r>
          </w:p>
        </w:tc>
        <w:tc>
          <w:tcPr>
            <w:tcW w:w="11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单位</w:t>
            </w:r>
          </w:p>
        </w:tc>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总计</w:t>
            </w:r>
          </w:p>
        </w:tc>
        <w:tc>
          <w:tcPr>
            <w:tcW w:w="42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要求</w:t>
            </w:r>
          </w:p>
        </w:tc>
      </w:tr>
      <w:tr>
        <w:tblPrEx>
          <w:tblCellMar>
            <w:top w:w="0" w:type="dxa"/>
            <w:left w:w="0" w:type="dxa"/>
            <w:bottom w:w="0" w:type="dxa"/>
            <w:right w:w="0" w:type="dxa"/>
          </w:tblCellMar>
        </w:tblPrEx>
        <w:trPr>
          <w:trHeight w:val="543" w:hRule="atLeast"/>
        </w:trPr>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p>
        </w:tc>
        <w:tc>
          <w:tcPr>
            <w:tcW w:w="19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施工项目</w:t>
            </w:r>
          </w:p>
        </w:tc>
        <w:tc>
          <w:tcPr>
            <w:tcW w:w="6323"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p>
        </w:tc>
      </w:tr>
      <w:tr>
        <w:tblPrEx>
          <w:tblCellMar>
            <w:top w:w="0" w:type="dxa"/>
            <w:left w:w="0" w:type="dxa"/>
            <w:bottom w:w="0" w:type="dxa"/>
            <w:right w:w="0" w:type="dxa"/>
          </w:tblCellMar>
        </w:tblPrEx>
        <w:trPr>
          <w:trHeight w:val="692" w:hRule="atLeast"/>
        </w:trPr>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一</w:t>
            </w:r>
          </w:p>
        </w:tc>
        <w:tc>
          <w:tcPr>
            <w:tcW w:w="8248" w:type="dxa"/>
            <w:gridSpan w:val="4"/>
            <w:tcBorders>
              <w:top w:val="single" w:color="000000" w:sz="4" w:space="0"/>
              <w:left w:val="single" w:color="000000" w:sz="4" w:space="0"/>
              <w:bottom w:val="single" w:color="000000" w:sz="4" w:space="0"/>
              <w:right w:val="single" w:color="C0C0C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lang w:val="en-US" w:eastAsia="zh-CN"/>
              </w:rPr>
              <w:t>宁夏职业技术学院生命科技学院农产品流通追溯中心装修项目</w:t>
            </w:r>
          </w:p>
        </w:tc>
      </w:tr>
      <w:tr>
        <w:tblPrEx>
          <w:tblCellMar>
            <w:top w:w="0" w:type="dxa"/>
            <w:left w:w="0" w:type="dxa"/>
            <w:bottom w:w="0" w:type="dxa"/>
            <w:right w:w="0" w:type="dxa"/>
          </w:tblCellMar>
        </w:tblPrEx>
        <w:trPr>
          <w:trHeight w:val="1020" w:hRule="atLeast"/>
        </w:trPr>
        <w:tc>
          <w:tcPr>
            <w:tcW w:w="85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1</w:t>
            </w:r>
          </w:p>
        </w:tc>
        <w:tc>
          <w:tcPr>
            <w:tcW w:w="19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default" w:ascii="宋体" w:hAnsi="宋体" w:cs="Courier New"/>
                <w:sz w:val="24"/>
                <w:lang w:val="en-US" w:eastAsia="zh-CN"/>
              </w:rPr>
            </w:pPr>
            <w:r>
              <w:rPr>
                <w:rFonts w:hint="eastAsia" w:ascii="宋体" w:hAnsi="宋体" w:cs="Courier New"/>
                <w:sz w:val="24"/>
                <w:lang w:val="en-US" w:eastAsia="zh-CN"/>
              </w:rPr>
              <w:t>现代农业综合公共实训中心一楼B101</w:t>
            </w:r>
          </w:p>
        </w:tc>
        <w:tc>
          <w:tcPr>
            <w:tcW w:w="11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平米</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default" w:ascii="宋体" w:hAnsi="宋体" w:cs="Courier New"/>
                <w:sz w:val="24"/>
                <w:lang w:val="en-US" w:eastAsia="zh-CN"/>
              </w:rPr>
            </w:pPr>
            <w:r>
              <w:rPr>
                <w:rFonts w:hint="eastAsia" w:ascii="宋体" w:hAnsi="宋体" w:cs="Courier New"/>
                <w:sz w:val="24"/>
                <w:lang w:val="en-US" w:eastAsia="zh-CN"/>
              </w:rPr>
              <w:t>131㎡</w:t>
            </w:r>
          </w:p>
        </w:tc>
        <w:tc>
          <w:tcPr>
            <w:tcW w:w="42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360" w:lineRule="auto"/>
              <w:ind w:firstLine="480" w:firstLineChars="200"/>
              <w:rPr>
                <w:rFonts w:hint="eastAsia" w:ascii="宋体" w:hAnsi="宋体" w:cs="Courier New"/>
                <w:sz w:val="24"/>
              </w:rPr>
            </w:pPr>
            <w:r>
              <w:rPr>
                <w:rFonts w:hint="eastAsia" w:ascii="宋体" w:hAnsi="宋体" w:cs="Courier New"/>
                <w:sz w:val="24"/>
              </w:rPr>
              <w:t>要求展示</w:t>
            </w:r>
            <w:r>
              <w:rPr>
                <w:rFonts w:hint="eastAsia" w:ascii="宋体" w:hAnsi="宋体" w:cs="Courier New"/>
                <w:sz w:val="24"/>
                <w:lang w:val="en-US" w:eastAsia="zh-CN"/>
              </w:rPr>
              <w:t>农</w:t>
            </w:r>
            <w:r>
              <w:rPr>
                <w:rFonts w:hint="eastAsia" w:ascii="宋体" w:hAnsi="宋体" w:cs="Courier New"/>
                <w:sz w:val="24"/>
              </w:rPr>
              <w:t>产品，根据概想设定不同区域及流线，涵盖</w:t>
            </w:r>
            <w:r>
              <w:rPr>
                <w:rFonts w:hint="eastAsia" w:ascii="宋体" w:hAnsi="宋体" w:cs="Courier New"/>
                <w:sz w:val="24"/>
                <w:lang w:val="en-US" w:eastAsia="zh-CN"/>
              </w:rPr>
              <w:t>展示、追溯系统安排</w:t>
            </w:r>
            <w:r>
              <w:rPr>
                <w:rFonts w:hint="eastAsia" w:ascii="宋体" w:hAnsi="宋体" w:cs="Courier New"/>
                <w:sz w:val="24"/>
              </w:rPr>
              <w:t>需求，兼具</w:t>
            </w:r>
            <w:r>
              <w:rPr>
                <w:rFonts w:hint="eastAsia" w:ascii="宋体" w:hAnsi="宋体" w:cs="Courier New"/>
                <w:sz w:val="24"/>
                <w:lang w:val="en-US" w:eastAsia="zh-CN"/>
              </w:rPr>
              <w:t>学院特色文化和</w:t>
            </w:r>
            <w:r>
              <w:rPr>
                <w:rFonts w:hint="eastAsia" w:ascii="宋体" w:hAnsi="宋体" w:cs="Courier New"/>
                <w:sz w:val="24"/>
              </w:rPr>
              <w:t>实用性，材料及工艺能够满足防火规范及学校相关要求。</w:t>
            </w:r>
          </w:p>
        </w:tc>
      </w:tr>
    </w:tbl>
    <w:p>
      <w:pPr>
        <w:rPr>
          <w:rFonts w:hint="eastAsia"/>
        </w:rPr>
      </w:pPr>
    </w:p>
    <w:p>
      <w:pPr>
        <w:spacing w:line="360" w:lineRule="auto"/>
        <w:ind w:firstLine="723" w:firstLineChars="200"/>
        <w:jc w:val="left"/>
        <w:rPr>
          <w:rFonts w:hint="eastAsia" w:ascii="宋体" w:hAnsi="宋体" w:cs="宋体"/>
          <w:bCs/>
          <w:szCs w:val="21"/>
        </w:rPr>
      </w:pPr>
      <w:r>
        <w:rPr>
          <w:rFonts w:hAnsi="宋体"/>
          <w:b/>
          <w:sz w:val="36"/>
          <w:szCs w:val="36"/>
        </w:rPr>
        <w:br w:type="page"/>
      </w:r>
    </w:p>
    <w:p>
      <w:pPr>
        <w:pStyle w:val="9"/>
        <w:spacing w:line="360" w:lineRule="auto"/>
        <w:jc w:val="center"/>
        <w:outlineLvl w:val="0"/>
        <w:rPr>
          <w:rFonts w:hint="eastAsia" w:hAnsi="宋体"/>
          <w:b/>
          <w:sz w:val="36"/>
          <w:szCs w:val="36"/>
          <w:lang w:val="en-US" w:eastAsia="zh-CN"/>
        </w:rPr>
      </w:pPr>
      <w:bookmarkStart w:id="112" w:name="_Toc8555"/>
      <w:r>
        <w:rPr>
          <w:rFonts w:hint="eastAsia" w:hAnsi="宋体"/>
          <w:b/>
          <w:sz w:val="36"/>
          <w:szCs w:val="36"/>
          <w:lang w:val="en-US" w:eastAsia="zh-CN"/>
        </w:rPr>
        <w:t>第六章  响应文件格式</w:t>
      </w:r>
      <w:bookmarkEnd w:id="112"/>
    </w:p>
    <w:p>
      <w:pPr>
        <w:spacing w:line="360" w:lineRule="auto"/>
        <w:rPr>
          <w:rFonts w:hint="eastAsia" w:ascii="宋体" w:hAnsi="宋体" w:cs="宋体"/>
          <w:bCs/>
          <w:sz w:val="28"/>
          <w:szCs w:val="28"/>
        </w:rPr>
      </w:pPr>
    </w:p>
    <w:p>
      <w:pPr>
        <w:spacing w:line="360" w:lineRule="auto"/>
        <w:rPr>
          <w:rFonts w:hint="eastAsia" w:ascii="宋体" w:hAnsi="宋体" w:cs="宋体"/>
          <w:bCs/>
          <w:sz w:val="28"/>
          <w:szCs w:val="28"/>
        </w:rPr>
      </w:pPr>
      <w:r>
        <w:rPr>
          <w:rFonts w:hint="eastAsia" w:ascii="宋体" w:hAnsi="宋体" w:cs="宋体"/>
          <w:bCs/>
          <w:sz w:val="28"/>
          <w:szCs w:val="28"/>
        </w:rPr>
        <w:t xml:space="preserve">                     </w:t>
      </w:r>
    </w:p>
    <w:p>
      <w:pPr>
        <w:spacing w:line="360" w:lineRule="auto"/>
        <w:rPr>
          <w:rFonts w:hint="eastAsia" w:ascii="宋体" w:hAnsi="宋体" w:cs="宋体"/>
          <w:bCs/>
          <w:sz w:val="28"/>
          <w:szCs w:val="28"/>
        </w:rPr>
      </w:pPr>
    </w:p>
    <w:p>
      <w:pPr>
        <w:spacing w:line="360" w:lineRule="auto"/>
        <w:jc w:val="center"/>
        <w:rPr>
          <w:rFonts w:hint="eastAsia" w:ascii="宋体" w:hAnsi="宋体" w:cs="宋体"/>
          <w:bCs/>
          <w:sz w:val="28"/>
          <w:szCs w:val="28"/>
        </w:rPr>
      </w:pPr>
      <w:r>
        <w:rPr>
          <w:rFonts w:hint="eastAsia" w:ascii="宋体" w:hAnsi="宋体" w:cs="宋体"/>
          <w:bCs/>
          <w:sz w:val="28"/>
          <w:szCs w:val="28"/>
        </w:rPr>
        <w:t>（封  面）</w:t>
      </w:r>
    </w:p>
    <w:p>
      <w:pPr>
        <w:spacing w:line="360" w:lineRule="auto"/>
        <w:jc w:val="center"/>
        <w:rPr>
          <w:rFonts w:hint="eastAsia" w:ascii="宋体" w:hAnsi="宋体" w:cs="宋体"/>
          <w:bCs/>
          <w:sz w:val="28"/>
          <w:szCs w:val="28"/>
        </w:rPr>
      </w:pPr>
    </w:p>
    <w:p>
      <w:pPr>
        <w:spacing w:line="360" w:lineRule="auto"/>
        <w:jc w:val="center"/>
        <w:rPr>
          <w:rFonts w:hint="eastAsia" w:ascii="宋体" w:hAnsi="宋体" w:cs="宋体"/>
          <w:b/>
          <w:sz w:val="36"/>
          <w:szCs w:val="36"/>
        </w:rPr>
      </w:pPr>
      <w:r>
        <w:rPr>
          <w:rFonts w:hint="eastAsia" w:ascii="宋体" w:hAnsi="宋体" w:cs="宋体"/>
          <w:b/>
          <w:sz w:val="36"/>
          <w:szCs w:val="36"/>
        </w:rPr>
        <w:t>谈  判  响  应  文  件</w:t>
      </w:r>
    </w:p>
    <w:p>
      <w:pPr>
        <w:spacing w:line="360" w:lineRule="auto"/>
        <w:rPr>
          <w:rFonts w:hint="eastAsia" w:ascii="宋体" w:hAnsi="宋体" w:cs="宋体"/>
          <w:bCs/>
          <w:sz w:val="28"/>
          <w:szCs w:val="28"/>
        </w:rPr>
      </w:pPr>
      <w:r>
        <w:rPr>
          <w:rFonts w:hint="eastAsia" w:ascii="宋体" w:hAnsi="宋体" w:cs="宋体"/>
          <w:bCs/>
          <w:sz w:val="28"/>
          <w:szCs w:val="28"/>
        </w:rPr>
        <w:t xml:space="preserve">                </w:t>
      </w:r>
    </w:p>
    <w:p>
      <w:pPr>
        <w:spacing w:line="360" w:lineRule="auto"/>
        <w:rPr>
          <w:rFonts w:hint="eastAsia" w:ascii="宋体" w:hAnsi="宋体" w:cs="宋体"/>
          <w:bCs/>
          <w:sz w:val="28"/>
          <w:szCs w:val="28"/>
        </w:rPr>
      </w:pPr>
    </w:p>
    <w:p>
      <w:pPr>
        <w:spacing w:line="360" w:lineRule="auto"/>
        <w:ind w:firstLine="2240" w:firstLineChars="800"/>
        <w:rPr>
          <w:rFonts w:hint="eastAsia" w:ascii="宋体" w:hAnsi="宋体" w:cs="宋体"/>
          <w:bCs/>
          <w:sz w:val="28"/>
          <w:szCs w:val="28"/>
        </w:rPr>
      </w:pPr>
      <w:r>
        <w:rPr>
          <w:rFonts w:hint="eastAsia" w:ascii="宋体" w:hAnsi="宋体" w:cs="宋体"/>
          <w:bCs/>
          <w:sz w:val="28"/>
          <w:szCs w:val="28"/>
        </w:rPr>
        <w:t>项目名称:</w:t>
      </w:r>
    </w:p>
    <w:p>
      <w:pPr>
        <w:spacing w:line="360" w:lineRule="auto"/>
        <w:ind w:firstLine="2240" w:firstLineChars="800"/>
        <w:rPr>
          <w:rFonts w:hint="eastAsia" w:ascii="宋体" w:hAnsi="宋体" w:cs="宋体"/>
          <w:bCs/>
          <w:sz w:val="28"/>
          <w:szCs w:val="28"/>
        </w:rPr>
      </w:pPr>
      <w:r>
        <w:rPr>
          <w:rFonts w:hint="eastAsia" w:ascii="宋体" w:hAnsi="宋体" w:cs="宋体"/>
          <w:bCs/>
          <w:sz w:val="28"/>
          <w:szCs w:val="28"/>
        </w:rPr>
        <w:t xml:space="preserve">                                   </w:t>
      </w:r>
    </w:p>
    <w:p>
      <w:pPr>
        <w:spacing w:line="360" w:lineRule="auto"/>
        <w:jc w:val="center"/>
        <w:rPr>
          <w:rFonts w:hint="eastAsia" w:ascii="宋体" w:hAnsi="宋体" w:cs="宋体"/>
          <w:bCs/>
          <w:sz w:val="28"/>
          <w:szCs w:val="28"/>
        </w:rPr>
      </w:pPr>
    </w:p>
    <w:p>
      <w:pPr>
        <w:spacing w:line="360" w:lineRule="auto"/>
        <w:jc w:val="center"/>
        <w:rPr>
          <w:rFonts w:hint="eastAsia" w:ascii="宋体" w:hAnsi="宋体" w:cs="宋体"/>
          <w:bCs/>
          <w:sz w:val="28"/>
          <w:szCs w:val="28"/>
        </w:rPr>
      </w:pPr>
    </w:p>
    <w:p>
      <w:pPr>
        <w:spacing w:line="360" w:lineRule="auto"/>
        <w:rPr>
          <w:rFonts w:hint="eastAsia" w:ascii="宋体" w:hAnsi="宋体" w:cs="宋体"/>
          <w:bCs/>
          <w:sz w:val="28"/>
          <w:szCs w:val="28"/>
        </w:rPr>
      </w:pPr>
    </w:p>
    <w:p>
      <w:pPr>
        <w:spacing w:line="360" w:lineRule="auto"/>
        <w:rPr>
          <w:rFonts w:hint="eastAsia" w:ascii="宋体" w:hAnsi="宋体" w:cs="宋体"/>
          <w:bCs/>
          <w:sz w:val="28"/>
          <w:szCs w:val="28"/>
        </w:rPr>
      </w:pPr>
    </w:p>
    <w:p>
      <w:pPr>
        <w:spacing w:line="360" w:lineRule="auto"/>
        <w:jc w:val="center"/>
        <w:rPr>
          <w:rFonts w:hint="eastAsia" w:ascii="宋体" w:hAnsi="宋体" w:cs="宋体"/>
          <w:bCs/>
          <w:sz w:val="28"/>
          <w:szCs w:val="28"/>
        </w:rPr>
      </w:pPr>
      <w:r>
        <w:rPr>
          <w:rFonts w:hint="eastAsia" w:ascii="宋体" w:hAnsi="宋体" w:cs="宋体"/>
          <w:bCs/>
          <w:sz w:val="28"/>
          <w:szCs w:val="28"/>
        </w:rPr>
        <w:t>供 应 商：</w:t>
      </w:r>
      <w:r>
        <w:rPr>
          <w:rFonts w:hint="eastAsia" w:ascii="宋体" w:hAnsi="宋体" w:cs="宋体"/>
          <w:bCs/>
          <w:sz w:val="28"/>
          <w:szCs w:val="28"/>
          <w:u w:val="single"/>
        </w:rPr>
        <w:t xml:space="preserve">                  </w:t>
      </w:r>
      <w:r>
        <w:rPr>
          <w:rFonts w:hint="eastAsia" w:ascii="宋体" w:hAnsi="宋体" w:cs="宋体"/>
          <w:bCs/>
          <w:sz w:val="28"/>
          <w:szCs w:val="28"/>
        </w:rPr>
        <w:t>（盖章）</w:t>
      </w:r>
    </w:p>
    <w:p>
      <w:pPr>
        <w:spacing w:line="360" w:lineRule="auto"/>
        <w:ind w:firstLine="2380" w:firstLineChars="850"/>
        <w:rPr>
          <w:rFonts w:hint="eastAsia" w:ascii="宋体" w:hAnsi="宋体" w:cs="宋体"/>
          <w:bCs/>
          <w:sz w:val="28"/>
          <w:szCs w:val="28"/>
          <w:u w:val="single"/>
        </w:rPr>
      </w:pPr>
    </w:p>
    <w:p>
      <w:pPr>
        <w:spacing w:line="360" w:lineRule="auto"/>
        <w:ind w:firstLine="2380" w:firstLineChars="850"/>
        <w:rPr>
          <w:rFonts w:hint="eastAsia" w:ascii="宋体" w:hAnsi="宋体" w:cs="宋体"/>
          <w:bCs/>
          <w:sz w:val="28"/>
          <w:szCs w:val="28"/>
        </w:rPr>
      </w:pP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360" w:lineRule="auto"/>
        <w:ind w:firstLine="2380" w:firstLineChars="850"/>
        <w:rPr>
          <w:rFonts w:hint="eastAsia" w:ascii="宋体" w:hAnsi="宋体" w:cs="宋体"/>
          <w:bCs/>
          <w:sz w:val="28"/>
          <w:szCs w:val="28"/>
        </w:rPr>
      </w:pPr>
    </w:p>
    <w:p>
      <w:pPr>
        <w:pStyle w:val="2"/>
        <w:rPr>
          <w:rFonts w:hint="eastAsia"/>
        </w:rPr>
      </w:pPr>
    </w:p>
    <w:p>
      <w:pPr>
        <w:rPr>
          <w:rFonts w:hint="eastAsia" w:ascii="宋体" w:hAnsi="宋体" w:cs="宋体"/>
          <w:b/>
          <w:sz w:val="28"/>
        </w:rPr>
      </w:pPr>
    </w:p>
    <w:p>
      <w:pPr>
        <w:rPr>
          <w:rFonts w:hint="eastAsia" w:ascii="宋体" w:hAnsi="宋体" w:cs="宋体"/>
          <w:szCs w:val="21"/>
        </w:rPr>
      </w:pPr>
      <w:bookmarkStart w:id="113" w:name="_Toc11008"/>
      <w:bookmarkStart w:id="114" w:name="_Toc30572"/>
      <w:bookmarkStart w:id="115" w:name="_Toc27877"/>
    </w:p>
    <w:p>
      <w:pPr>
        <w:pStyle w:val="5"/>
        <w:jc w:val="center"/>
        <w:rPr>
          <w:rFonts w:hint="eastAsia" w:ascii="宋体" w:hAnsi="宋体" w:cs="宋体"/>
        </w:rPr>
      </w:pPr>
      <w:bookmarkStart w:id="116" w:name="_Toc3483"/>
      <w:bookmarkStart w:id="117" w:name="_Toc32202"/>
      <w:r>
        <w:rPr>
          <w:rFonts w:hint="eastAsia" w:ascii="宋体" w:hAnsi="宋体" w:cs="宋体"/>
          <w:sz w:val="21"/>
          <w:szCs w:val="21"/>
          <w:lang w:val="en-US" w:eastAsia="zh-CN"/>
        </w:rPr>
        <w:t>一</w:t>
      </w:r>
      <w:r>
        <w:rPr>
          <w:rFonts w:hint="eastAsia" w:ascii="宋体" w:hAnsi="宋体" w:cs="宋体"/>
          <w:sz w:val="21"/>
          <w:szCs w:val="21"/>
        </w:rPr>
        <w:t>、法定代表人资格证明书</w:t>
      </w:r>
      <w:bookmarkEnd w:id="113"/>
      <w:bookmarkEnd w:id="114"/>
      <w:bookmarkEnd w:id="115"/>
      <w:bookmarkEnd w:id="116"/>
      <w:bookmarkEnd w:id="117"/>
    </w:p>
    <w:p>
      <w:pPr>
        <w:pStyle w:val="6"/>
        <w:jc w:val="center"/>
        <w:outlineLvl w:val="9"/>
        <w:rPr>
          <w:rFonts w:hint="eastAsia" w:ascii="宋体" w:hAnsi="宋体" w:cs="宋体"/>
          <w:sz w:val="21"/>
          <w:szCs w:val="21"/>
        </w:rPr>
      </w:pPr>
      <w:r>
        <w:rPr>
          <w:rFonts w:hint="eastAsia" w:ascii="宋体" w:hAnsi="宋体" w:cs="宋体"/>
          <w:sz w:val="21"/>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供应商名称：</w:t>
      </w:r>
      <w:r>
        <w:rPr>
          <w:rFonts w:hint="eastAsia" w:ascii="宋体" w:hAnsi="宋体" w:cs="宋体"/>
          <w:u w:val="single"/>
        </w:rPr>
        <w:t xml:space="preserve">                          </w:t>
      </w:r>
    </w:p>
    <w:p>
      <w:pPr>
        <w:spacing w:line="360" w:lineRule="auto"/>
        <w:ind w:firstLine="420" w:firstLineChars="200"/>
        <w:rPr>
          <w:rFonts w:hint="eastAsia" w:ascii="宋体" w:hAnsi="宋体" w:cs="宋体"/>
          <w:szCs w:val="21"/>
          <w:u w:val="single"/>
        </w:rPr>
      </w:pPr>
      <w:r>
        <w:rPr>
          <w:rFonts w:hint="eastAsia" w:ascii="宋体" w:hAnsi="宋体" w:cs="宋体"/>
          <w:szCs w:val="21"/>
        </w:rPr>
        <w:t>单位性质：</w:t>
      </w:r>
      <w:r>
        <w:rPr>
          <w:rFonts w:hint="eastAsia" w:ascii="宋体" w:hAnsi="宋体" w:cs="宋体"/>
          <w:szCs w:val="21"/>
          <w:u w:val="single"/>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bookmarkStart w:id="118" w:name="OLE_LINK2"/>
      <w:r>
        <w:rPr>
          <w:rFonts w:hint="eastAsia" w:ascii="宋体" w:hAnsi="宋体" w:cs="宋体"/>
          <w:szCs w:val="21"/>
          <w:u w:val="single"/>
        </w:rPr>
        <w:t xml:space="preserve">           </w:t>
      </w:r>
      <w:bookmarkEnd w:id="118"/>
      <w:r>
        <w:rPr>
          <w:rFonts w:hint="eastAsia" w:ascii="宋体" w:hAnsi="宋体" w:cs="宋体"/>
          <w:szCs w:val="21"/>
          <w:u w:val="single"/>
        </w:rPr>
        <w:t xml:space="preserve">  </w:t>
      </w:r>
      <w:r>
        <w:rPr>
          <w:rFonts w:hint="eastAsia" w:ascii="宋体" w:hAnsi="宋体" w:cs="宋体"/>
          <w:szCs w:val="21"/>
        </w:rPr>
        <w:t>_</w:t>
      </w:r>
    </w:p>
    <w:p>
      <w:pPr>
        <w:spacing w:line="360" w:lineRule="auto"/>
        <w:ind w:firstLine="420" w:firstLineChars="200"/>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（供应商名称）的法定代表人。</w:t>
      </w:r>
    </w:p>
    <w:p>
      <w:pPr>
        <w:spacing w:line="360" w:lineRule="auto"/>
        <w:ind w:firstLine="945" w:firstLineChars="450"/>
        <w:rPr>
          <w:rFonts w:hint="eastAsia" w:ascii="宋体" w:hAnsi="宋体" w:cs="宋体"/>
          <w:szCs w:val="21"/>
        </w:rPr>
      </w:pPr>
      <w:r>
        <w:rPr>
          <w:rFonts w:hint="eastAsia" w:ascii="宋体" w:hAnsi="宋体" w:cs="宋体"/>
          <w:szCs w:val="21"/>
        </w:rPr>
        <w:t>特此证明</w:t>
      </w:r>
    </w:p>
    <w:p>
      <w:pPr>
        <w:spacing w:line="360" w:lineRule="auto"/>
        <w:ind w:firstLine="945" w:firstLineChars="450"/>
        <w:rPr>
          <w:rFonts w:hint="eastAsia" w:ascii="宋体" w:hAnsi="宋体" w:cs="宋体"/>
          <w:szCs w:val="21"/>
        </w:rPr>
      </w:pPr>
    </w:p>
    <w:p>
      <w:pPr>
        <w:spacing w:line="360" w:lineRule="auto"/>
        <w:ind w:firstLine="945" w:firstLineChars="450"/>
        <w:rPr>
          <w:rFonts w:hint="eastAsia" w:ascii="宋体" w:hAnsi="宋体" w:cs="宋体"/>
          <w:szCs w:val="21"/>
        </w:rPr>
      </w:pPr>
    </w:p>
    <w:p>
      <w:pPr>
        <w:spacing w:line="360" w:lineRule="auto"/>
        <w:ind w:firstLine="2415" w:firstLineChars="1150"/>
        <w:jc w:val="right"/>
        <w:rPr>
          <w:rFonts w:hint="eastAsia" w:ascii="宋体" w:hAnsi="宋体" w:cs="宋体"/>
          <w:szCs w:val="21"/>
        </w:rPr>
      </w:pPr>
      <w:r>
        <w:rPr>
          <w:rFonts w:hint="eastAsia" w:ascii="宋体" w:hAnsi="宋体" w:cs="宋体"/>
          <w:szCs w:val="21"/>
        </w:rPr>
        <w:t xml:space="preserve">   供应商：</w:t>
      </w:r>
      <w:r>
        <w:rPr>
          <w:rFonts w:hint="eastAsia" w:ascii="宋体" w:hAnsi="宋体" w:cs="宋体"/>
          <w:szCs w:val="21"/>
          <w:u w:val="single"/>
        </w:rPr>
        <w:t xml:space="preserve">                      </w:t>
      </w:r>
      <w:r>
        <w:rPr>
          <w:rFonts w:hint="eastAsia" w:ascii="宋体" w:hAnsi="宋体" w:cs="宋体"/>
          <w:szCs w:val="21"/>
        </w:rPr>
        <w:t>（盖单位章）</w:t>
      </w:r>
    </w:p>
    <w:p>
      <w:pPr>
        <w:spacing w:line="360" w:lineRule="auto"/>
        <w:ind w:firstLine="4515" w:firstLineChars="2150"/>
        <w:jc w:val="right"/>
        <w:rPr>
          <w:rFonts w:hint="eastAsia" w:ascii="宋体" w:hAnsi="宋体" w:cs="宋体"/>
          <w:szCs w:val="21"/>
          <w:u w:val="single"/>
        </w:rPr>
      </w:pPr>
    </w:p>
    <w:p>
      <w:pPr>
        <w:spacing w:line="360" w:lineRule="auto"/>
        <w:ind w:firstLine="3360" w:firstLineChars="1600"/>
        <w:jc w:val="righ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szCs w:val="21"/>
        </w:rPr>
      </w:pPr>
    </w:p>
    <w:p>
      <w:pPr>
        <w:pStyle w:val="5"/>
        <w:jc w:val="center"/>
        <w:rPr>
          <w:rFonts w:hint="eastAsia" w:ascii="宋体" w:hAnsi="宋体" w:cs="宋体"/>
          <w:sz w:val="21"/>
          <w:szCs w:val="21"/>
        </w:rPr>
      </w:pPr>
      <w:bookmarkStart w:id="119" w:name="_Toc13119"/>
      <w:bookmarkStart w:id="120" w:name="_Toc7950"/>
      <w:bookmarkStart w:id="121" w:name="_Toc15521"/>
      <w:bookmarkStart w:id="122" w:name="_Toc3930"/>
      <w:bookmarkStart w:id="123" w:name="_Toc17949"/>
      <w:r>
        <w:rPr>
          <w:rFonts w:hint="eastAsia" w:ascii="宋体" w:hAnsi="宋体" w:cs="宋体"/>
          <w:sz w:val="21"/>
          <w:szCs w:val="21"/>
          <w:lang w:val="en-US" w:eastAsia="zh-CN"/>
        </w:rPr>
        <w:t>二</w:t>
      </w:r>
      <w:r>
        <w:rPr>
          <w:rStyle w:val="23"/>
          <w:rFonts w:hint="eastAsia" w:ascii="宋体" w:hAnsi="宋体" w:cs="宋体"/>
          <w:b/>
          <w:bCs/>
        </w:rPr>
        <w:t>、</w:t>
      </w:r>
      <w:r>
        <w:rPr>
          <w:rFonts w:hint="eastAsia" w:ascii="宋体" w:hAnsi="宋体" w:cs="宋体"/>
          <w:sz w:val="21"/>
          <w:szCs w:val="21"/>
        </w:rPr>
        <w:t>授权委托书</w:t>
      </w:r>
      <w:bookmarkEnd w:id="119"/>
      <w:bookmarkEnd w:id="120"/>
      <w:bookmarkEnd w:id="121"/>
      <w:bookmarkEnd w:id="122"/>
      <w:bookmarkEnd w:id="123"/>
    </w:p>
    <w:p>
      <w:pPr>
        <w:spacing w:line="360" w:lineRule="auto"/>
        <w:jc w:val="center"/>
        <w:rPr>
          <w:rFonts w:hint="eastAsia" w:ascii="宋体" w:hAnsi="宋体" w:cs="宋体"/>
          <w:b/>
          <w:szCs w:val="21"/>
        </w:rPr>
      </w:pPr>
    </w:p>
    <w:p>
      <w:pPr>
        <w:spacing w:line="360" w:lineRule="auto"/>
        <w:ind w:firstLine="420" w:firstLineChars="200"/>
        <w:rPr>
          <w:rFonts w:hint="eastAsia"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（供应商名称）的法定代表人，现委托</w:t>
      </w:r>
      <w:r>
        <w:rPr>
          <w:rFonts w:hint="eastAsia" w:ascii="宋体" w:hAnsi="宋体" w:cs="宋体"/>
          <w:szCs w:val="21"/>
          <w:u w:val="single"/>
        </w:rPr>
        <w:t xml:space="preserve">          </w:t>
      </w:r>
      <w:r>
        <w:rPr>
          <w:rFonts w:hint="eastAsia" w:ascii="宋体" w:hAnsi="宋体" w:cs="宋体"/>
          <w:szCs w:val="21"/>
        </w:rPr>
        <w:t>（姓名）为我方代理人。代理人根据授权，以我方名义签署、澄清、说明、补正、递交、撤回、修改</w:t>
      </w:r>
      <w:r>
        <w:rPr>
          <w:rFonts w:hint="eastAsia" w:ascii="宋体" w:hAnsi="宋体" w:cs="宋体"/>
          <w:szCs w:val="21"/>
          <w:u w:val="single"/>
        </w:rPr>
        <w:t xml:space="preserve">       </w:t>
      </w:r>
      <w:r>
        <w:rPr>
          <w:rFonts w:hint="eastAsia" w:ascii="宋体" w:hAnsi="宋体" w:cs="宋体"/>
          <w:szCs w:val="21"/>
        </w:rPr>
        <w:t>（项目名称）施工响应文件、签订合同和处理有关事宜，其法律后果由我方承担。</w:t>
      </w:r>
    </w:p>
    <w:p>
      <w:pPr>
        <w:spacing w:line="360" w:lineRule="auto"/>
        <w:ind w:firstLine="420" w:firstLineChars="200"/>
        <w:rPr>
          <w:rFonts w:hint="eastAsia" w:ascii="宋体" w:hAnsi="宋体" w:cs="宋体"/>
          <w:szCs w:val="21"/>
        </w:rPr>
      </w:pPr>
      <w:r>
        <w:rPr>
          <w:rFonts w:hint="eastAsia" w:ascii="宋体" w:hAnsi="宋体" w:cs="宋体"/>
          <w:szCs w:val="21"/>
        </w:rPr>
        <w:t>委托期限：</w:t>
      </w:r>
      <w:r>
        <w:rPr>
          <w:rFonts w:hint="eastAsia" w:ascii="宋体" w:hAnsi="宋体" w:cs="宋体"/>
          <w:szCs w:val="21"/>
          <w:u w:val="single"/>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代理人无转委托权。</w:t>
      </w:r>
    </w:p>
    <w:p>
      <w:pPr>
        <w:spacing w:line="360" w:lineRule="auto"/>
        <w:ind w:firstLine="420" w:firstLineChars="200"/>
        <w:rPr>
          <w:rFonts w:hint="eastAsia" w:ascii="宋体" w:hAnsi="宋体" w:cs="宋体"/>
          <w:szCs w:val="21"/>
        </w:rPr>
      </w:pPr>
      <w:r>
        <w:rPr>
          <w:rFonts w:hint="eastAsia" w:ascii="宋体" w:hAnsi="宋体" w:cs="宋体"/>
          <w:szCs w:val="21"/>
        </w:rPr>
        <w:t>附：法定代表人身份证明</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（盖单位章）</w:t>
      </w:r>
    </w:p>
    <w:p>
      <w:pPr>
        <w:spacing w:line="360" w:lineRule="auto"/>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w:t>
      </w:r>
    </w:p>
    <w:p>
      <w:pPr>
        <w:spacing w:line="360" w:lineRule="auto"/>
        <w:rPr>
          <w:rFonts w:hint="eastAsia"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rPr>
          <w:rFonts w:hint="eastAsia"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（签字）</w:t>
      </w:r>
    </w:p>
    <w:p>
      <w:pPr>
        <w:spacing w:line="360" w:lineRule="auto"/>
        <w:rPr>
          <w:rFonts w:hint="eastAsia"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rPr>
          <w:rFonts w:hint="eastAsia" w:ascii="宋体" w:hAnsi="宋体" w:cs="宋体"/>
          <w:szCs w:val="21"/>
          <w:u w:val="single"/>
        </w:rPr>
      </w:pPr>
    </w:p>
    <w:p>
      <w:pPr>
        <w:spacing w:line="360" w:lineRule="auto"/>
        <w:jc w:val="righ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before="100" w:beforeAutospacing="1" w:after="100" w:afterAutospacing="1"/>
        <w:rPr>
          <w:rFonts w:hint="eastAsia" w:ascii="宋体" w:hAnsi="宋体" w:cs="宋体"/>
          <w:b/>
          <w:szCs w:val="21"/>
        </w:rPr>
      </w:pPr>
    </w:p>
    <w:p>
      <w:pPr>
        <w:pStyle w:val="5"/>
        <w:jc w:val="center"/>
        <w:rPr>
          <w:rFonts w:hint="eastAsia" w:ascii="宋体" w:hAnsi="宋体" w:cs="宋体"/>
          <w:sz w:val="21"/>
          <w:szCs w:val="21"/>
        </w:rPr>
      </w:pPr>
      <w:bookmarkStart w:id="124" w:name="_Toc7112"/>
      <w:bookmarkStart w:id="125" w:name="_Toc3044"/>
      <w:bookmarkStart w:id="126" w:name="_Toc19176"/>
      <w:bookmarkStart w:id="127" w:name="_Toc14499"/>
      <w:bookmarkStart w:id="128" w:name="_Toc12802"/>
      <w:r>
        <w:rPr>
          <w:rFonts w:hint="eastAsia" w:ascii="宋体" w:hAnsi="宋体" w:cs="宋体"/>
          <w:sz w:val="21"/>
          <w:szCs w:val="21"/>
          <w:lang w:val="en-US" w:eastAsia="zh-CN"/>
        </w:rPr>
        <w:t>三</w:t>
      </w:r>
      <w:r>
        <w:rPr>
          <w:rFonts w:hint="eastAsia" w:ascii="宋体" w:hAnsi="宋体" w:cs="宋体"/>
          <w:sz w:val="21"/>
          <w:szCs w:val="21"/>
        </w:rPr>
        <w:t>、工程预算</w:t>
      </w:r>
      <w:bookmarkEnd w:id="124"/>
      <w:bookmarkEnd w:id="125"/>
      <w:bookmarkEnd w:id="126"/>
      <w:bookmarkEnd w:id="127"/>
      <w:bookmarkEnd w:id="128"/>
    </w:p>
    <w:p>
      <w:pPr>
        <w:pStyle w:val="5"/>
        <w:jc w:val="center"/>
        <w:rPr>
          <w:rFonts w:hint="eastAsia" w:ascii="宋体" w:hAnsi="宋体" w:cs="宋体"/>
          <w:b w:val="0"/>
          <w:bCs w:val="0"/>
          <w:sz w:val="21"/>
          <w:szCs w:val="21"/>
        </w:rPr>
      </w:pPr>
      <w:bookmarkStart w:id="129" w:name="_Toc31467"/>
      <w:r>
        <w:rPr>
          <w:rFonts w:hint="eastAsia" w:ascii="宋体" w:hAnsi="宋体" w:cs="宋体"/>
          <w:b w:val="0"/>
          <w:bCs w:val="0"/>
          <w:sz w:val="21"/>
          <w:szCs w:val="21"/>
        </w:rPr>
        <w:t>附工程预算书一份。</w:t>
      </w:r>
      <w:bookmarkEnd w:id="129"/>
    </w:p>
    <w:p>
      <w:pPr>
        <w:jc w:val="center"/>
        <w:rPr>
          <w:rFonts w:hint="eastAsia" w:ascii="宋体" w:hAnsi="宋体" w:cs="宋体"/>
          <w:szCs w:val="21"/>
        </w:rPr>
      </w:pPr>
    </w:p>
    <w:p>
      <w:pPr>
        <w:pStyle w:val="2"/>
        <w:rPr>
          <w:rFonts w:hint="eastAsia"/>
        </w:rPr>
      </w:pPr>
    </w:p>
    <w:p>
      <w:pPr>
        <w:pStyle w:val="5"/>
        <w:jc w:val="center"/>
        <w:rPr>
          <w:rFonts w:hint="eastAsia" w:ascii="宋体" w:hAnsi="宋体" w:cs="宋体"/>
          <w:sz w:val="21"/>
          <w:szCs w:val="21"/>
        </w:rPr>
      </w:pPr>
      <w:bookmarkStart w:id="130" w:name="_Toc14359"/>
      <w:bookmarkStart w:id="131" w:name="_Toc21508"/>
      <w:bookmarkStart w:id="132" w:name="_Toc25379"/>
      <w:bookmarkStart w:id="133" w:name="_Toc25759"/>
      <w:bookmarkStart w:id="134" w:name="_Toc10453"/>
      <w:r>
        <w:rPr>
          <w:rFonts w:hint="eastAsia" w:ascii="宋体" w:hAnsi="宋体" w:cs="宋体"/>
          <w:sz w:val="21"/>
          <w:szCs w:val="21"/>
          <w:lang w:val="en-US" w:eastAsia="zh-CN"/>
        </w:rPr>
        <w:t>四</w:t>
      </w:r>
      <w:r>
        <w:rPr>
          <w:rFonts w:hint="eastAsia" w:ascii="宋体" w:hAnsi="宋体" w:cs="宋体"/>
          <w:sz w:val="21"/>
          <w:szCs w:val="21"/>
        </w:rPr>
        <w:t>、施工组织设计</w:t>
      </w:r>
      <w:bookmarkEnd w:id="130"/>
      <w:bookmarkEnd w:id="131"/>
      <w:bookmarkEnd w:id="132"/>
      <w:bookmarkEnd w:id="133"/>
      <w:bookmarkEnd w:id="134"/>
    </w:p>
    <w:p>
      <w:pPr>
        <w:spacing w:line="360" w:lineRule="auto"/>
        <w:ind w:firstLine="420" w:firstLineChars="200"/>
        <w:rPr>
          <w:rFonts w:hint="eastAsia" w:ascii="宋体" w:hAnsi="宋体" w:cs="宋体"/>
          <w:szCs w:val="21"/>
        </w:rPr>
      </w:pPr>
      <w:r>
        <w:rPr>
          <w:rFonts w:hint="eastAsia" w:ascii="宋体" w:hAnsi="宋体" w:cs="宋体"/>
          <w:szCs w:val="21"/>
        </w:rPr>
        <w:t>1．供应商编制施工组织设计的要求：编制时应采用文字并结合图表形式说明施工方法；拟投入本标段的主要施工设备情况、拟配备本项目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20" w:firstLineChars="200"/>
        <w:rPr>
          <w:rFonts w:hint="eastAsia" w:ascii="宋体" w:hAnsi="宋体" w:cs="宋体"/>
          <w:szCs w:val="21"/>
        </w:rPr>
      </w:pPr>
      <w:r>
        <w:rPr>
          <w:rFonts w:hint="eastAsia" w:ascii="宋体" w:hAnsi="宋体" w:cs="宋体"/>
          <w:szCs w:val="21"/>
        </w:rPr>
        <w:t>2．施工组织设计除采用文字表述外可附下列图表，图表及格式要求附后。</w:t>
      </w:r>
    </w:p>
    <w:p>
      <w:pPr>
        <w:spacing w:line="360" w:lineRule="auto"/>
        <w:ind w:firstLine="420" w:firstLineChars="200"/>
        <w:rPr>
          <w:rFonts w:hint="eastAsia" w:ascii="宋体" w:hAnsi="宋体" w:cs="宋体"/>
          <w:szCs w:val="21"/>
        </w:rPr>
      </w:pPr>
      <w:r>
        <w:rPr>
          <w:rFonts w:hint="eastAsia" w:ascii="宋体" w:hAnsi="宋体" w:cs="宋体"/>
          <w:szCs w:val="21"/>
        </w:rPr>
        <w:t>附表一  计划开、竣工日期和施工进度网络图</w:t>
      </w:r>
    </w:p>
    <w:p>
      <w:pPr>
        <w:spacing w:line="360" w:lineRule="auto"/>
        <w:ind w:firstLine="420" w:firstLineChars="200"/>
        <w:rPr>
          <w:rFonts w:hint="eastAsia" w:ascii="宋体" w:hAnsi="宋体" w:cs="宋体"/>
          <w:szCs w:val="21"/>
        </w:rPr>
      </w:pPr>
      <w:r>
        <w:rPr>
          <w:rFonts w:hint="eastAsia" w:ascii="宋体" w:hAnsi="宋体" w:cs="宋体"/>
          <w:szCs w:val="21"/>
        </w:rPr>
        <w:t>附表二  施工总平面图</w:t>
      </w:r>
    </w:p>
    <w:p>
      <w:pPr>
        <w:pStyle w:val="7"/>
        <w:spacing w:before="0" w:after="0" w:line="360" w:lineRule="auto"/>
        <w:rPr>
          <w:rFonts w:hint="eastAsia" w:ascii="宋体" w:hAnsi="宋体" w:eastAsia="宋体" w:cs="宋体"/>
          <w:sz w:val="21"/>
          <w:szCs w:val="21"/>
        </w:rPr>
      </w:pPr>
      <w:r>
        <w:rPr>
          <w:rFonts w:hint="eastAsia" w:ascii="宋体" w:hAnsi="宋体" w:eastAsia="宋体" w:cs="宋体"/>
          <w:sz w:val="21"/>
          <w:szCs w:val="21"/>
        </w:rPr>
        <w:t>附表一：计划开、竣工日期和施工进度网络图</w:t>
      </w:r>
    </w:p>
    <w:p>
      <w:pPr>
        <w:spacing w:line="360" w:lineRule="auto"/>
        <w:ind w:firstLine="420" w:firstLineChars="200"/>
        <w:rPr>
          <w:rFonts w:hint="eastAsia" w:ascii="宋体" w:hAnsi="宋体" w:cs="宋体"/>
          <w:szCs w:val="21"/>
        </w:rPr>
      </w:pPr>
      <w:r>
        <w:rPr>
          <w:rFonts w:hint="eastAsia" w:ascii="宋体" w:hAnsi="宋体" w:cs="宋体"/>
          <w:szCs w:val="21"/>
        </w:rPr>
        <w:t>1．供应商应递交施工进度网络图或施工进度表，说明按磋商文件要求的计划工期进行施工的各个关键日期。</w:t>
      </w:r>
    </w:p>
    <w:p>
      <w:pPr>
        <w:spacing w:line="360" w:lineRule="auto"/>
        <w:ind w:firstLine="420" w:firstLineChars="200"/>
        <w:rPr>
          <w:rFonts w:hint="eastAsia" w:ascii="宋体" w:hAnsi="宋体" w:cs="宋体"/>
          <w:szCs w:val="21"/>
        </w:rPr>
      </w:pPr>
      <w:r>
        <w:rPr>
          <w:rFonts w:hint="eastAsia" w:ascii="宋体" w:hAnsi="宋体" w:cs="宋体"/>
          <w:szCs w:val="21"/>
        </w:rPr>
        <w:t>2．施工进度表可采用网络图（或横道图）表示。</w:t>
      </w:r>
    </w:p>
    <w:p>
      <w:pPr>
        <w:pStyle w:val="7"/>
        <w:spacing w:before="0" w:after="0" w:line="360" w:lineRule="auto"/>
        <w:rPr>
          <w:rFonts w:hint="eastAsia" w:ascii="宋体" w:hAnsi="宋体" w:eastAsia="宋体" w:cs="宋体"/>
          <w:sz w:val="21"/>
          <w:szCs w:val="21"/>
        </w:rPr>
      </w:pPr>
      <w:r>
        <w:rPr>
          <w:rFonts w:hint="eastAsia" w:ascii="宋体" w:hAnsi="宋体" w:eastAsia="宋体" w:cs="宋体"/>
          <w:sz w:val="21"/>
          <w:szCs w:val="21"/>
        </w:rPr>
        <w:t>附表二：施工总平面图</w:t>
      </w:r>
    </w:p>
    <w:p>
      <w:pPr>
        <w:jc w:val="center"/>
        <w:outlineLvl w:val="1"/>
        <w:rPr>
          <w:rFonts w:hint="eastAsia" w:ascii="宋体" w:hAnsi="宋体" w:eastAsia="宋体" w:cs="宋体"/>
          <w:szCs w:val="21"/>
          <w:lang w:eastAsia="zh-CN"/>
        </w:rPr>
      </w:pPr>
      <w:bookmarkStart w:id="135" w:name="_Toc18421"/>
      <w:bookmarkStart w:id="136" w:name="_Toc3066"/>
      <w:bookmarkStart w:id="137" w:name="_Toc7043"/>
      <w:bookmarkStart w:id="138" w:name="_Toc4873"/>
      <w:bookmarkStart w:id="139" w:name="_Toc4191"/>
      <w:bookmarkStart w:id="140" w:name="_Toc22919"/>
      <w:bookmarkStart w:id="141" w:name="_Toc14807"/>
      <w:r>
        <w:rPr>
          <w:rFonts w:hint="eastAsia" w:ascii="宋体" w:hAnsi="宋体" w:cs="宋体"/>
          <w:szCs w:val="21"/>
        </w:rPr>
        <w:t>供应商应递交一份施工总平面图，绘出现场临时设施布置图表并附文字说明</w:t>
      </w:r>
      <w:bookmarkEnd w:id="135"/>
      <w:bookmarkEnd w:id="136"/>
      <w:bookmarkEnd w:id="137"/>
      <w:bookmarkEnd w:id="138"/>
      <w:bookmarkEnd w:id="139"/>
      <w:bookmarkEnd w:id="140"/>
      <w:r>
        <w:rPr>
          <w:rFonts w:hint="eastAsia" w:ascii="宋体" w:hAnsi="宋体" w:cs="宋体"/>
          <w:szCs w:val="21"/>
          <w:lang w:eastAsia="zh-CN"/>
        </w:rPr>
        <w:t>。</w:t>
      </w:r>
      <w:bookmarkEnd w:id="141"/>
    </w:p>
    <w:p>
      <w:pPr>
        <w:pStyle w:val="5"/>
        <w:jc w:val="center"/>
        <w:rPr>
          <w:rFonts w:hint="eastAsia" w:ascii="宋体" w:hAnsi="宋体" w:cs="宋体"/>
          <w:sz w:val="21"/>
          <w:szCs w:val="21"/>
        </w:rPr>
      </w:pPr>
      <w:bookmarkStart w:id="142" w:name="_Toc30090"/>
      <w:bookmarkStart w:id="143" w:name="_Toc12204"/>
      <w:bookmarkStart w:id="144" w:name="_Toc3351"/>
      <w:bookmarkStart w:id="145" w:name="_Toc12214"/>
      <w:bookmarkStart w:id="146" w:name="_Toc22657"/>
      <w:r>
        <w:rPr>
          <w:rFonts w:hint="eastAsia" w:ascii="宋体" w:hAnsi="宋体" w:cs="宋体"/>
          <w:sz w:val="21"/>
          <w:szCs w:val="21"/>
          <w:lang w:val="en-US" w:eastAsia="zh-CN"/>
        </w:rPr>
        <w:t>五</w:t>
      </w:r>
      <w:r>
        <w:rPr>
          <w:rFonts w:hint="eastAsia" w:ascii="宋体" w:hAnsi="宋体" w:cs="宋体"/>
          <w:sz w:val="21"/>
          <w:szCs w:val="21"/>
        </w:rPr>
        <w:t>、辅助资料及表格</w:t>
      </w:r>
      <w:bookmarkEnd w:id="142"/>
      <w:bookmarkEnd w:id="143"/>
      <w:bookmarkEnd w:id="144"/>
      <w:bookmarkEnd w:id="145"/>
      <w:bookmarkEnd w:id="146"/>
    </w:p>
    <w:p>
      <w:pPr>
        <w:jc w:val="center"/>
        <w:rPr>
          <w:rFonts w:hint="eastAsia" w:ascii="宋体" w:hAnsi="宋体" w:cs="宋体"/>
          <w:b/>
          <w:szCs w:val="21"/>
        </w:rPr>
      </w:pPr>
      <w:r>
        <w:rPr>
          <w:rFonts w:hint="eastAsia" w:ascii="宋体" w:hAnsi="宋体" w:cs="宋体"/>
          <w:b/>
          <w:szCs w:val="21"/>
        </w:rPr>
        <w:t>（如表格不够可以在原有表格的基础上另加行或附页）</w:t>
      </w:r>
    </w:p>
    <w:p>
      <w:pPr>
        <w:pStyle w:val="7"/>
        <w:jc w:val="center"/>
        <w:outlineLvl w:val="0"/>
        <w:rPr>
          <w:rFonts w:hint="eastAsia" w:ascii="宋体" w:hAnsi="宋体" w:eastAsia="宋体" w:cs="宋体"/>
          <w:sz w:val="21"/>
          <w:szCs w:val="21"/>
        </w:rPr>
      </w:pPr>
      <w:bookmarkStart w:id="147" w:name="_Toc28830"/>
      <w:bookmarkStart w:id="148" w:name="_Toc31054"/>
      <w:bookmarkStart w:id="149" w:name="_Toc11221"/>
      <w:r>
        <w:rPr>
          <w:rFonts w:hint="eastAsia" w:ascii="宋体" w:hAnsi="宋体" w:eastAsia="宋体" w:cs="宋体"/>
          <w:sz w:val="21"/>
          <w:szCs w:val="21"/>
        </w:rPr>
        <w:t>附表一、投标申请人基本情况表</w:t>
      </w:r>
      <w:bookmarkEnd w:id="147"/>
      <w:bookmarkEnd w:id="148"/>
      <w:bookmarkEnd w:id="149"/>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4"/>
        <w:gridCol w:w="4098"/>
        <w:gridCol w:w="138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投标申请人全称</w:t>
            </w:r>
          </w:p>
        </w:tc>
        <w:tc>
          <w:tcPr>
            <w:tcW w:w="6916" w:type="dxa"/>
            <w:gridSpan w:val="3"/>
            <w:noWrap w:val="0"/>
            <w:vAlign w:val="top"/>
          </w:tcPr>
          <w:p>
            <w:pP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主要业务范围</w:t>
            </w:r>
          </w:p>
        </w:tc>
        <w:tc>
          <w:tcPr>
            <w:tcW w:w="6916" w:type="dxa"/>
            <w:gridSpan w:val="3"/>
            <w:noWrap w:val="0"/>
            <w:vAlign w:val="top"/>
          </w:tcPr>
          <w:p>
            <w:pP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法定代表人姓名</w:t>
            </w:r>
          </w:p>
        </w:tc>
        <w:tc>
          <w:tcPr>
            <w:tcW w:w="4098" w:type="dxa"/>
            <w:noWrap w:val="0"/>
            <w:vAlign w:val="top"/>
          </w:tcPr>
          <w:p>
            <w:pPr>
              <w:rPr>
                <w:rFonts w:hint="eastAsia" w:ascii="宋体" w:hAnsi="宋体" w:cs="宋体"/>
                <w:b/>
                <w:szCs w:val="21"/>
              </w:rPr>
            </w:pPr>
          </w:p>
        </w:tc>
        <w:tc>
          <w:tcPr>
            <w:tcW w:w="1382" w:type="dxa"/>
            <w:noWrap w:val="0"/>
            <w:vAlign w:val="center"/>
          </w:tcPr>
          <w:p>
            <w:pPr>
              <w:jc w:val="center"/>
              <w:rPr>
                <w:rFonts w:hint="eastAsia" w:ascii="宋体" w:hAnsi="宋体" w:cs="宋体"/>
                <w:szCs w:val="21"/>
              </w:rPr>
            </w:pPr>
            <w:r>
              <w:rPr>
                <w:rFonts w:hint="eastAsia" w:ascii="宋体" w:hAnsi="宋体" w:cs="宋体"/>
                <w:szCs w:val="21"/>
              </w:rPr>
              <w:t>职   务</w:t>
            </w:r>
          </w:p>
        </w:tc>
        <w:tc>
          <w:tcPr>
            <w:tcW w:w="1436" w:type="dxa"/>
            <w:noWrap w:val="0"/>
            <w:vAlign w:val="top"/>
          </w:tcPr>
          <w:p>
            <w:pP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投标申请人地址</w:t>
            </w:r>
          </w:p>
        </w:tc>
        <w:tc>
          <w:tcPr>
            <w:tcW w:w="4098" w:type="dxa"/>
            <w:noWrap w:val="0"/>
            <w:vAlign w:val="top"/>
          </w:tcPr>
          <w:p>
            <w:pPr>
              <w:rPr>
                <w:rFonts w:hint="eastAsia" w:ascii="宋体" w:hAnsi="宋体" w:cs="宋体"/>
                <w:b/>
                <w:szCs w:val="21"/>
              </w:rPr>
            </w:pPr>
          </w:p>
        </w:tc>
        <w:tc>
          <w:tcPr>
            <w:tcW w:w="1382" w:type="dxa"/>
            <w:noWrap w:val="0"/>
            <w:vAlign w:val="center"/>
          </w:tcPr>
          <w:p>
            <w:pPr>
              <w:jc w:val="center"/>
              <w:rPr>
                <w:rFonts w:hint="eastAsia" w:ascii="宋体" w:hAnsi="宋体" w:cs="宋体"/>
                <w:szCs w:val="21"/>
              </w:rPr>
            </w:pPr>
            <w:r>
              <w:rPr>
                <w:rFonts w:hint="eastAsia" w:ascii="宋体" w:hAnsi="宋体" w:cs="宋体"/>
                <w:szCs w:val="21"/>
              </w:rPr>
              <w:t>邮政编码</w:t>
            </w:r>
          </w:p>
        </w:tc>
        <w:tc>
          <w:tcPr>
            <w:tcW w:w="1436" w:type="dxa"/>
            <w:noWrap w:val="0"/>
            <w:vAlign w:val="top"/>
          </w:tcPr>
          <w:p>
            <w:pP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电       话</w:t>
            </w:r>
          </w:p>
        </w:tc>
        <w:tc>
          <w:tcPr>
            <w:tcW w:w="4098" w:type="dxa"/>
            <w:noWrap w:val="0"/>
            <w:vAlign w:val="top"/>
          </w:tcPr>
          <w:p>
            <w:pPr>
              <w:rPr>
                <w:rFonts w:hint="eastAsia" w:ascii="宋体" w:hAnsi="宋体" w:cs="宋体"/>
                <w:b/>
                <w:szCs w:val="21"/>
              </w:rPr>
            </w:pPr>
          </w:p>
        </w:tc>
        <w:tc>
          <w:tcPr>
            <w:tcW w:w="1382" w:type="dxa"/>
            <w:noWrap w:val="0"/>
            <w:vAlign w:val="center"/>
          </w:tcPr>
          <w:p>
            <w:pPr>
              <w:jc w:val="center"/>
              <w:rPr>
                <w:rFonts w:hint="eastAsia" w:ascii="宋体" w:hAnsi="宋体" w:cs="宋体"/>
                <w:szCs w:val="21"/>
              </w:rPr>
            </w:pPr>
            <w:r>
              <w:rPr>
                <w:rFonts w:hint="eastAsia" w:ascii="宋体" w:hAnsi="宋体" w:cs="宋体"/>
                <w:szCs w:val="21"/>
              </w:rPr>
              <w:t>传   真</w:t>
            </w:r>
          </w:p>
        </w:tc>
        <w:tc>
          <w:tcPr>
            <w:tcW w:w="1436" w:type="dxa"/>
            <w:noWrap w:val="0"/>
            <w:vAlign w:val="top"/>
          </w:tcPr>
          <w:p>
            <w:pP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成 立 日 期</w:t>
            </w:r>
          </w:p>
        </w:tc>
        <w:tc>
          <w:tcPr>
            <w:tcW w:w="4098" w:type="dxa"/>
            <w:noWrap w:val="0"/>
            <w:vAlign w:val="top"/>
          </w:tcPr>
          <w:p>
            <w:pPr>
              <w:rPr>
                <w:rFonts w:hint="eastAsia" w:ascii="宋体" w:hAnsi="宋体" w:cs="宋体"/>
                <w:b/>
                <w:szCs w:val="21"/>
              </w:rPr>
            </w:pPr>
          </w:p>
        </w:tc>
        <w:tc>
          <w:tcPr>
            <w:tcW w:w="1382" w:type="dxa"/>
            <w:noWrap w:val="0"/>
            <w:vAlign w:val="center"/>
          </w:tcPr>
          <w:p>
            <w:pPr>
              <w:jc w:val="center"/>
              <w:rPr>
                <w:rFonts w:hint="eastAsia" w:ascii="宋体" w:hAnsi="宋体" w:cs="宋体"/>
                <w:szCs w:val="21"/>
              </w:rPr>
            </w:pPr>
            <w:r>
              <w:rPr>
                <w:rFonts w:hint="eastAsia" w:ascii="宋体" w:hAnsi="宋体" w:cs="宋体"/>
                <w:szCs w:val="21"/>
              </w:rPr>
              <w:t>现 有 职</w:t>
            </w:r>
          </w:p>
          <w:p>
            <w:pPr>
              <w:jc w:val="center"/>
              <w:rPr>
                <w:rFonts w:hint="eastAsia" w:ascii="宋体" w:hAnsi="宋体" w:cs="宋体"/>
                <w:szCs w:val="21"/>
              </w:rPr>
            </w:pPr>
            <w:r>
              <w:rPr>
                <w:rFonts w:hint="eastAsia" w:ascii="宋体" w:hAnsi="宋体" w:cs="宋体"/>
                <w:szCs w:val="21"/>
              </w:rPr>
              <w:t>工 人 数</w:t>
            </w:r>
          </w:p>
        </w:tc>
        <w:tc>
          <w:tcPr>
            <w:tcW w:w="1436" w:type="dxa"/>
            <w:noWrap w:val="0"/>
            <w:vAlign w:val="top"/>
          </w:tcPr>
          <w:p>
            <w:pP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资质等级证书</w:t>
            </w:r>
          </w:p>
        </w:tc>
        <w:tc>
          <w:tcPr>
            <w:tcW w:w="6916" w:type="dxa"/>
            <w:gridSpan w:val="3"/>
            <w:noWrap w:val="0"/>
            <w:vAlign w:val="center"/>
          </w:tcPr>
          <w:p>
            <w:pPr>
              <w:rPr>
                <w:rFonts w:hint="eastAsia" w:ascii="宋体" w:hAnsi="宋体" w:cs="宋体"/>
                <w:szCs w:val="21"/>
              </w:rPr>
            </w:pPr>
            <w:r>
              <w:rPr>
                <w:rFonts w:hint="eastAsia" w:ascii="宋体" w:hAnsi="宋体" w:cs="宋体"/>
                <w:szCs w:val="21"/>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质量管理体系证书</w:t>
            </w:r>
          </w:p>
        </w:tc>
        <w:tc>
          <w:tcPr>
            <w:tcW w:w="6916" w:type="dxa"/>
            <w:gridSpan w:val="3"/>
            <w:noWrap w:val="0"/>
            <w:vAlign w:val="center"/>
          </w:tcPr>
          <w:p>
            <w:pPr>
              <w:rPr>
                <w:rFonts w:hint="eastAsia" w:ascii="宋体" w:hAnsi="宋体" w:cs="宋体"/>
                <w:b/>
                <w:szCs w:val="21"/>
              </w:rPr>
            </w:pPr>
            <w:r>
              <w:rPr>
                <w:rFonts w:hint="eastAsia" w:ascii="宋体" w:hAnsi="宋体" w:cs="宋体"/>
                <w:szCs w:val="21"/>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654" w:type="dxa"/>
            <w:noWrap w:val="0"/>
            <w:vAlign w:val="center"/>
          </w:tcPr>
          <w:p>
            <w:pPr>
              <w:jc w:val="center"/>
              <w:rPr>
                <w:rFonts w:hint="eastAsia" w:ascii="宋体" w:hAnsi="宋体" w:cs="宋体"/>
                <w:szCs w:val="21"/>
              </w:rPr>
            </w:pPr>
            <w:r>
              <w:rPr>
                <w:rFonts w:hint="eastAsia" w:ascii="宋体" w:hAnsi="宋体" w:cs="宋体"/>
                <w:szCs w:val="21"/>
              </w:rPr>
              <w:t>其他证书</w:t>
            </w:r>
          </w:p>
        </w:tc>
        <w:tc>
          <w:tcPr>
            <w:tcW w:w="6916" w:type="dxa"/>
            <w:gridSpan w:val="3"/>
            <w:noWrap w:val="0"/>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9570" w:type="dxa"/>
            <w:gridSpan w:val="4"/>
            <w:tcBorders>
              <w:bottom w:val="single" w:color="auto" w:sz="4" w:space="0"/>
            </w:tcBorders>
            <w:noWrap w:val="0"/>
            <w:vAlign w:val="top"/>
          </w:tcPr>
          <w:p>
            <w:pPr>
              <w:spacing w:line="360" w:lineRule="auto"/>
              <w:rPr>
                <w:rFonts w:hint="eastAsia" w:ascii="宋体" w:hAnsi="宋体" w:cs="宋体"/>
                <w:szCs w:val="21"/>
              </w:rPr>
            </w:pPr>
            <w:r>
              <w:rPr>
                <w:rFonts w:hint="eastAsia" w:ascii="宋体" w:hAnsi="宋体" w:cs="宋体"/>
                <w:szCs w:val="21"/>
              </w:rPr>
              <w:t>机构简介：</w:t>
            </w:r>
          </w:p>
          <w:p>
            <w:pPr>
              <w:spacing w:line="360" w:lineRule="auto"/>
              <w:rPr>
                <w:rFonts w:hint="eastAsia" w:ascii="宋体" w:hAnsi="宋体" w:cs="宋体"/>
                <w:szCs w:val="21"/>
              </w:rPr>
            </w:pPr>
            <w:r>
              <w:rPr>
                <w:rFonts w:hint="eastAsia" w:ascii="宋体" w:hAnsi="宋体" w:cs="宋体"/>
                <w:szCs w:val="21"/>
              </w:rPr>
              <w:t>（组织机构框图附后）</w:t>
            </w:r>
          </w:p>
          <w:p>
            <w:pPr>
              <w:spacing w:line="360" w:lineRule="auto"/>
              <w:rPr>
                <w:rFonts w:hint="eastAsia" w:ascii="宋体" w:hAnsi="宋体" w:cs="宋体"/>
                <w:szCs w:val="21"/>
              </w:rPr>
            </w:pPr>
            <w:r>
              <w:rPr>
                <w:rFonts w:hint="eastAsia" w:ascii="宋体" w:hAnsi="宋体" w:cs="宋体"/>
                <w:szCs w:val="21"/>
              </w:rPr>
              <w:t>技术人员总数：</w:t>
            </w:r>
            <w:r>
              <w:rPr>
                <w:rFonts w:hint="eastAsia" w:ascii="宋体" w:hAnsi="宋体" w:cs="宋体"/>
                <w:szCs w:val="21"/>
                <w:u w:val="single"/>
              </w:rPr>
              <w:t xml:space="preserve">          </w:t>
            </w:r>
            <w:r>
              <w:rPr>
                <w:rFonts w:hint="eastAsia" w:ascii="宋体" w:hAnsi="宋体" w:cs="宋体"/>
                <w:szCs w:val="21"/>
              </w:rPr>
              <w:t>人</w:t>
            </w:r>
          </w:p>
          <w:p>
            <w:pPr>
              <w:spacing w:line="360" w:lineRule="auto"/>
              <w:rPr>
                <w:rFonts w:hint="eastAsia" w:ascii="宋体" w:hAnsi="宋体" w:cs="宋体"/>
                <w:szCs w:val="21"/>
              </w:rPr>
            </w:pPr>
            <w:r>
              <w:rPr>
                <w:rFonts w:hint="eastAsia" w:ascii="宋体" w:hAnsi="宋体" w:cs="宋体"/>
                <w:szCs w:val="21"/>
              </w:rPr>
              <w:t xml:space="preserve">高级工程师：  </w:t>
            </w:r>
            <w:r>
              <w:rPr>
                <w:rFonts w:hint="eastAsia" w:ascii="宋体" w:hAnsi="宋体" w:cs="宋体"/>
                <w:szCs w:val="21"/>
                <w:u w:val="single"/>
              </w:rPr>
              <w:t xml:space="preserve">          </w:t>
            </w:r>
            <w:r>
              <w:rPr>
                <w:rFonts w:hint="eastAsia" w:ascii="宋体" w:hAnsi="宋体" w:cs="宋体"/>
                <w:szCs w:val="21"/>
              </w:rPr>
              <w:t>人</w:t>
            </w:r>
          </w:p>
          <w:p>
            <w:pPr>
              <w:spacing w:line="360" w:lineRule="auto"/>
              <w:rPr>
                <w:rFonts w:hint="eastAsia" w:ascii="宋体" w:hAnsi="宋体" w:cs="宋体"/>
                <w:szCs w:val="21"/>
              </w:rPr>
            </w:pPr>
            <w:r>
              <w:rPr>
                <w:rFonts w:hint="eastAsia" w:ascii="宋体" w:hAnsi="宋体" w:cs="宋体"/>
                <w:szCs w:val="21"/>
              </w:rPr>
              <w:t xml:space="preserve">工程师：      </w:t>
            </w:r>
            <w:r>
              <w:rPr>
                <w:rFonts w:hint="eastAsia" w:ascii="宋体" w:hAnsi="宋体" w:cs="宋体"/>
                <w:szCs w:val="21"/>
                <w:u w:val="single"/>
              </w:rPr>
              <w:t xml:space="preserve">          </w:t>
            </w:r>
            <w:r>
              <w:rPr>
                <w:rFonts w:hint="eastAsia" w:ascii="宋体" w:hAnsi="宋体" w:cs="宋体"/>
                <w:szCs w:val="21"/>
              </w:rPr>
              <w:t>人</w:t>
            </w:r>
          </w:p>
          <w:p>
            <w:pPr>
              <w:spacing w:line="360" w:lineRule="auto"/>
              <w:rPr>
                <w:rFonts w:hint="eastAsia" w:ascii="宋体" w:hAnsi="宋体" w:cs="宋体"/>
                <w:szCs w:val="21"/>
              </w:rPr>
            </w:pPr>
            <w:r>
              <w:rPr>
                <w:rFonts w:hint="eastAsia" w:ascii="宋体" w:hAnsi="宋体" w:cs="宋体"/>
                <w:szCs w:val="21"/>
              </w:rPr>
              <w:t xml:space="preserve">助理工程师：  </w:t>
            </w:r>
            <w:r>
              <w:rPr>
                <w:rFonts w:hint="eastAsia" w:ascii="宋体" w:hAnsi="宋体" w:cs="宋体"/>
                <w:szCs w:val="21"/>
                <w:u w:val="single"/>
              </w:rPr>
              <w:t xml:space="preserve">          </w:t>
            </w:r>
            <w:r>
              <w:rPr>
                <w:rFonts w:hint="eastAsia" w:ascii="宋体" w:hAnsi="宋体" w:cs="宋体"/>
                <w:szCs w:val="21"/>
              </w:rPr>
              <w:t>人</w:t>
            </w:r>
          </w:p>
          <w:p>
            <w:pPr>
              <w:spacing w:line="360" w:lineRule="auto"/>
              <w:rPr>
                <w:rFonts w:hint="eastAsia" w:ascii="宋体" w:hAnsi="宋体" w:cs="宋体"/>
                <w:szCs w:val="21"/>
              </w:rPr>
            </w:pPr>
            <w:r>
              <w:rPr>
                <w:rFonts w:hint="eastAsia" w:ascii="宋体" w:hAnsi="宋体" w:cs="宋体"/>
                <w:szCs w:val="21"/>
              </w:rPr>
              <w:t xml:space="preserve">技术员：      </w:t>
            </w:r>
            <w:r>
              <w:rPr>
                <w:rFonts w:hint="eastAsia" w:ascii="宋体" w:hAnsi="宋体" w:cs="宋体"/>
                <w:szCs w:val="21"/>
                <w:u w:val="single"/>
              </w:rPr>
              <w:t xml:space="preserve">          </w:t>
            </w:r>
            <w:r>
              <w:rPr>
                <w:rFonts w:hint="eastAsia" w:ascii="宋体" w:hAnsi="宋体" w:cs="宋体"/>
                <w:szCs w:val="21"/>
              </w:rPr>
              <w:t>人</w:t>
            </w:r>
          </w:p>
        </w:tc>
      </w:tr>
    </w:tbl>
    <w:p>
      <w:pPr>
        <w:tabs>
          <w:tab w:val="left" w:pos="1680"/>
        </w:tabs>
        <w:spacing w:line="360" w:lineRule="auto"/>
        <w:rPr>
          <w:rFonts w:hint="eastAsia" w:ascii="宋体" w:hAnsi="宋体" w:cs="宋体"/>
          <w:szCs w:val="21"/>
        </w:rPr>
      </w:pPr>
    </w:p>
    <w:p>
      <w:pPr>
        <w:tabs>
          <w:tab w:val="left" w:pos="1680"/>
        </w:tabs>
        <w:spacing w:line="360" w:lineRule="auto"/>
        <w:rPr>
          <w:rFonts w:hint="eastAsia" w:ascii="宋体" w:hAnsi="宋体" w:cs="宋体"/>
          <w:szCs w:val="21"/>
          <w:u w:val="single"/>
        </w:rPr>
      </w:pPr>
      <w:r>
        <w:rPr>
          <w:rFonts w:hint="eastAsia" w:ascii="宋体" w:hAnsi="宋体" w:cs="宋体"/>
          <w:szCs w:val="21"/>
        </w:rPr>
        <w:t xml:space="preserve">供应商： </w:t>
      </w:r>
      <w:r>
        <w:rPr>
          <w:rFonts w:hint="eastAsia" w:ascii="宋体" w:hAnsi="宋体" w:cs="宋体"/>
          <w:szCs w:val="21"/>
          <w:u w:val="single"/>
        </w:rPr>
        <w:t xml:space="preserve">           （单位全称） (盖章)                </w:t>
      </w:r>
    </w:p>
    <w:p>
      <w:pPr>
        <w:tabs>
          <w:tab w:val="left" w:pos="1680"/>
        </w:tabs>
        <w:spacing w:line="360" w:lineRule="auto"/>
        <w:ind w:firstLine="420"/>
        <w:rPr>
          <w:rFonts w:hint="eastAsia" w:ascii="宋体" w:hAnsi="宋体" w:cs="宋体"/>
          <w:szCs w:val="21"/>
          <w:u w:val="single"/>
        </w:rPr>
      </w:pPr>
    </w:p>
    <w:p>
      <w:pPr>
        <w:tabs>
          <w:tab w:val="left" w:pos="1680"/>
        </w:tabs>
        <w:spacing w:line="360" w:lineRule="auto"/>
        <w:rPr>
          <w:rFonts w:hint="eastAsia" w:ascii="宋体" w:hAnsi="宋体" w:cs="宋体"/>
          <w:szCs w:val="21"/>
        </w:rPr>
      </w:pPr>
      <w:r>
        <w:rPr>
          <w:rFonts w:hint="eastAsia" w:ascii="宋体" w:hAnsi="宋体" w:cs="宋体"/>
          <w:szCs w:val="21"/>
        </w:rPr>
        <w:t>法定代表人或授权代表：</w:t>
      </w:r>
      <w:r>
        <w:rPr>
          <w:rFonts w:hint="eastAsia" w:ascii="宋体" w:hAnsi="宋体" w:cs="宋体"/>
          <w:szCs w:val="21"/>
          <w:u w:val="single"/>
        </w:rPr>
        <w:t xml:space="preserve">               (签章)               </w:t>
      </w:r>
    </w:p>
    <w:p>
      <w:pPr>
        <w:spacing w:line="360" w:lineRule="auto"/>
        <w:rPr>
          <w:rFonts w:hint="eastAsia" w:ascii="宋体" w:hAnsi="宋体" w:cs="宋体"/>
          <w:b/>
          <w:szCs w:val="21"/>
        </w:rPr>
      </w:pPr>
      <w:r>
        <w:rPr>
          <w:rFonts w:hint="eastAsia" w:ascii="宋体" w:hAnsi="宋体" w:cs="宋体"/>
          <w:b/>
          <w:szCs w:val="21"/>
        </w:rPr>
        <w:t xml:space="preserve">    </w:t>
      </w:r>
    </w:p>
    <w:p>
      <w:pPr>
        <w:spacing w:line="360" w:lineRule="auto"/>
        <w:rPr>
          <w:rFonts w:hint="eastAsia"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r>
        <w:rPr>
          <w:rFonts w:hint="eastAsia" w:ascii="宋体" w:hAnsi="宋体" w:cs="宋体"/>
          <w:szCs w:val="21"/>
        </w:rPr>
        <w:t>注：投标申请人需随此表附上营业执照、税务登记证、组织机构代码证、质量管理体系证书、资质证书等文件的复印件。</w:t>
      </w:r>
    </w:p>
    <w:p>
      <w:pPr>
        <w:spacing w:line="360" w:lineRule="auto"/>
        <w:ind w:firstLine="420" w:firstLineChars="200"/>
        <w:rPr>
          <w:rFonts w:hint="eastAsia" w:ascii="宋体" w:hAnsi="宋体" w:cs="宋体"/>
          <w:szCs w:val="21"/>
        </w:rPr>
      </w:pPr>
    </w:p>
    <w:p>
      <w:pPr>
        <w:spacing w:line="360" w:lineRule="auto"/>
        <w:ind w:firstLine="422" w:firstLineChars="200"/>
        <w:jc w:val="center"/>
        <w:rPr>
          <w:rFonts w:hint="eastAsia" w:ascii="宋体" w:hAnsi="宋体" w:cs="宋体"/>
          <w:b/>
          <w:szCs w:val="21"/>
        </w:rPr>
      </w:pPr>
      <w:r>
        <w:rPr>
          <w:rFonts w:hint="eastAsia" w:ascii="宋体" w:hAnsi="宋体" w:cs="宋体"/>
          <w:b/>
          <w:szCs w:val="21"/>
        </w:rPr>
        <w:t>附表二、近三年完成的类似项目（或正在实施的项目）情况表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项目名称</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项目所在地</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发包人名称</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发包人地址</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发包人电话</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合同价格</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开工日期</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竣工日期</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承担的工作</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质量情况</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技术负责人</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right="-254" w:rightChars="-121"/>
              <w:rPr>
                <w:rFonts w:hint="eastAsia" w:ascii="宋体" w:hAnsi="宋体" w:cs="宋体"/>
                <w:szCs w:val="21"/>
              </w:rPr>
            </w:pPr>
            <w:r>
              <w:rPr>
                <w:rFonts w:hint="eastAsia" w:ascii="宋体" w:hAnsi="宋体" w:cs="宋体"/>
                <w:szCs w:val="21"/>
              </w:rPr>
              <w:t>发包人负责人及电话</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项目描述</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rPr>
                <w:rFonts w:hint="eastAsia" w:ascii="宋体" w:hAnsi="宋体" w:cs="宋体"/>
                <w:szCs w:val="21"/>
              </w:rPr>
            </w:pPr>
            <w:r>
              <w:rPr>
                <w:rFonts w:hint="eastAsia" w:ascii="宋体" w:hAnsi="宋体" w:cs="宋体"/>
                <w:szCs w:val="21"/>
              </w:rPr>
              <w:t>备注</w:t>
            </w:r>
          </w:p>
        </w:tc>
        <w:tc>
          <w:tcPr>
            <w:tcW w:w="7505"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center"/>
              <w:rPr>
                <w:rFonts w:hint="eastAsia" w:ascii="宋体" w:hAnsi="宋体" w:cs="宋体"/>
                <w:szCs w:val="21"/>
              </w:rPr>
            </w:pPr>
          </w:p>
        </w:tc>
      </w:tr>
    </w:tbl>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注：附近三年类似业绩证明文件。</w:t>
      </w:r>
    </w:p>
    <w:p>
      <w:pPr>
        <w:spacing w:line="360" w:lineRule="auto"/>
        <w:rPr>
          <w:rFonts w:hint="eastAsia" w:ascii="宋体" w:hAnsi="宋体" w:cs="宋体"/>
          <w:szCs w:val="21"/>
        </w:rPr>
      </w:pPr>
    </w:p>
    <w:p>
      <w:pPr>
        <w:spacing w:line="360" w:lineRule="auto"/>
        <w:rPr>
          <w:rFonts w:hint="eastAsia" w:ascii="宋体" w:hAnsi="宋体" w:cs="宋体"/>
          <w:szCs w:val="21"/>
        </w:rPr>
      </w:pPr>
    </w:p>
    <w:p>
      <w:pPr>
        <w:pStyle w:val="2"/>
        <w:spacing w:line="240" w:lineRule="auto"/>
        <w:ind w:left="0" w:firstLine="0" w:firstLineChars="0"/>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C"/>
    <w:multiLevelType w:val="multilevel"/>
    <w:tmpl w:val="0000003C"/>
    <w:lvl w:ilvl="0" w:tentative="0">
      <w:start w:val="1"/>
      <w:numFmt w:val="decimal"/>
      <w:pStyle w:val="2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A12231D"/>
    <w:multiLevelType w:val="singleLevel"/>
    <w:tmpl w:val="1A12231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1ZWNkYmFmNGNmZDgwYjY3OTcyY2E5ODU3NzI1NjUifQ=="/>
  </w:docVars>
  <w:rsids>
    <w:rsidRoot w:val="0D5F18C6"/>
    <w:rsid w:val="0D5F18C6"/>
    <w:rsid w:val="3B53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2"/>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link w:val="23"/>
    <w:qFormat/>
    <w:uiPriority w:val="0"/>
    <w:pPr>
      <w:keepNext/>
      <w:keepLines/>
      <w:adjustRightInd w:val="0"/>
      <w:spacing w:before="260" w:beforeLines="0" w:after="260" w:afterLines="0" w:line="416" w:lineRule="atLeast"/>
      <w:jc w:val="left"/>
      <w:textAlignment w:val="baseline"/>
      <w:outlineLvl w:val="1"/>
    </w:pPr>
    <w:rPr>
      <w:rFonts w:ascii="Arial" w:hAnsi="Arial" w:eastAsia="黑体"/>
      <w:kern w:val="0"/>
      <w:sz w:val="32"/>
      <w:szCs w:val="20"/>
    </w:rPr>
  </w:style>
  <w:style w:type="paragraph" w:styleId="6">
    <w:name w:val="heading 3"/>
    <w:basedOn w:val="1"/>
    <w:next w:val="1"/>
    <w:qFormat/>
    <w:uiPriority w:val="0"/>
    <w:pPr>
      <w:keepNext/>
      <w:keepLines/>
      <w:spacing w:line="360" w:lineRule="auto"/>
      <w:outlineLvl w:val="2"/>
    </w:pPr>
    <w:rPr>
      <w:b/>
      <w:bCs/>
      <w:sz w:val="24"/>
      <w:szCs w:val="32"/>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center" w:pos="4501"/>
      </w:tabs>
      <w:ind w:firstLine="420"/>
    </w:pPr>
  </w:style>
  <w:style w:type="paragraph" w:styleId="3">
    <w:name w:val="Body Text Indent"/>
    <w:basedOn w:val="1"/>
    <w:uiPriority w:val="0"/>
    <w:pPr>
      <w:tabs>
        <w:tab w:val="center" w:pos="4501"/>
      </w:tabs>
      <w:spacing w:line="600" w:lineRule="exact"/>
      <w:ind w:left="1" w:firstLine="420" w:firstLineChars="140"/>
    </w:pPr>
    <w:rPr>
      <w:rFonts w:ascii="宋体" w:hAnsi="宋体"/>
      <w:sz w:val="30"/>
    </w:rPr>
  </w:style>
  <w:style w:type="paragraph" w:styleId="8">
    <w:name w:val="annotation text"/>
    <w:basedOn w:val="1"/>
    <w:semiHidden/>
    <w:qFormat/>
    <w:uiPriority w:val="0"/>
    <w:pPr>
      <w:adjustRightInd w:val="0"/>
      <w:spacing w:line="360" w:lineRule="atLeast"/>
      <w:jc w:val="left"/>
      <w:textAlignment w:val="baseline"/>
    </w:pPr>
    <w:rPr>
      <w:kern w:val="0"/>
      <w:sz w:val="24"/>
    </w:rPr>
  </w:style>
  <w:style w:type="paragraph" w:styleId="9">
    <w:name w:val="Plain Text"/>
    <w:basedOn w:val="1"/>
    <w:qFormat/>
    <w:uiPriority w:val="0"/>
    <w:rPr>
      <w:rFonts w:ascii="宋体" w:hAnsi="Courier New" w:cs="Courier New"/>
      <w:szCs w:val="21"/>
    </w:rPr>
  </w:style>
  <w:style w:type="paragraph" w:styleId="10">
    <w:name w:val="Body Text Indent 2"/>
    <w:basedOn w:val="1"/>
    <w:qFormat/>
    <w:uiPriority w:val="0"/>
    <w:pPr>
      <w:ind w:left="359" w:leftChars="171" w:firstLine="624" w:firstLineChars="223"/>
    </w:pPr>
    <w:rPr>
      <w:rFonts w:ascii="宋体" w:hAnsi="宋体"/>
      <w:sz w:val="28"/>
    </w:rPr>
  </w:style>
  <w:style w:type="paragraph" w:styleId="11">
    <w:name w:val="footer"/>
    <w:basedOn w:val="1"/>
    <w:qFormat/>
    <w:uiPriority w:val="99"/>
    <w:pPr>
      <w:tabs>
        <w:tab w:val="center" w:pos="4153"/>
        <w:tab w:val="right" w:pos="8306"/>
      </w:tabs>
      <w:adjustRightInd w:val="0"/>
      <w:spacing w:line="240" w:lineRule="atLeast"/>
      <w:jc w:val="left"/>
      <w:textAlignment w:val="baseline"/>
    </w:pPr>
    <w:rPr>
      <w:kern w:val="0"/>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0"/>
  </w:style>
  <w:style w:type="paragraph" w:styleId="14">
    <w:name w:val="toc 2"/>
    <w:basedOn w:val="1"/>
    <w:next w:val="1"/>
    <w:uiPriority w:val="0"/>
    <w:pPr>
      <w:ind w:left="420" w:leftChars="200"/>
    </w:pPr>
  </w:style>
  <w:style w:type="paragraph" w:customStyle="1" w:styleId="17">
    <w:name w:val="样式 样式 样式 标题 2 + 微软雅黑 五号 非加粗 黑色 + 段前: 6 磅 段后: 0 磅 行距: 单倍行距 + 段前: 12..."/>
    <w:basedOn w:val="18"/>
    <w:qFormat/>
    <w:uiPriority w:val="0"/>
    <w:pPr>
      <w:spacing w:before="240"/>
    </w:pPr>
    <w:rPr>
      <w:rFonts w:eastAsia="微软雅黑"/>
    </w:rPr>
  </w:style>
  <w:style w:type="paragraph" w:customStyle="1" w:styleId="18">
    <w:name w:val="样式 样式 标题 2 + 宋体 五号 非加粗 黑色 + 段前: 6 磅 段后: 0 磅 行距: 单倍行距"/>
    <w:basedOn w:val="19"/>
    <w:qFormat/>
    <w:uiPriority w:val="0"/>
    <w:pPr>
      <w:spacing w:before="120" w:after="0" w:line="240" w:lineRule="auto"/>
    </w:pPr>
    <w:rPr>
      <w:rFonts w:ascii="Times New Roman" w:hAnsi="Times New Roman"/>
      <w:color w:val="auto"/>
      <w:kern w:val="0"/>
      <w:sz w:val="20"/>
      <w:szCs w:val="20"/>
    </w:rPr>
  </w:style>
  <w:style w:type="paragraph" w:customStyle="1" w:styleId="19">
    <w:name w:val="样式 标题 2 + 宋体 五号 非加粗 黑色"/>
    <w:basedOn w:val="5"/>
    <w:qFormat/>
    <w:uiPriority w:val="0"/>
    <w:rPr>
      <w:rFonts w:ascii="宋体" w:hAnsi="宋体" w:eastAsia="宋体"/>
      <w:color w:val="000000"/>
      <w:sz w:val="21"/>
    </w:rPr>
  </w:style>
  <w:style w:type="paragraph" w:customStyle="1" w:styleId="20">
    <w:name w:val="样式 标题 4 + 段前: 5 磅 段后: 5 磅 行距: 单倍行距"/>
    <w:basedOn w:val="17"/>
    <w:qFormat/>
    <w:uiPriority w:val="0"/>
    <w:pPr>
      <w:spacing w:before="100" w:after="100"/>
    </w:pPr>
    <w:rPr>
      <w:rFonts w:ascii="Arial" w:hAnsi="Arial"/>
    </w:rPr>
  </w:style>
  <w:style w:type="paragraph" w:customStyle="1" w:styleId="21">
    <w:name w:val="样式1"/>
    <w:basedOn w:val="1"/>
    <w:qFormat/>
    <w:uiPriority w:val="0"/>
    <w:pPr>
      <w:numPr>
        <w:ilvl w:val="0"/>
        <w:numId w:val="1"/>
      </w:numPr>
    </w:pPr>
    <w:rPr>
      <w:rFonts w:ascii="宋体" w:hAnsi="宋体"/>
      <w:sz w:val="21"/>
      <w:szCs w:val="21"/>
    </w:rPr>
  </w:style>
  <w:style w:type="character" w:customStyle="1" w:styleId="22">
    <w:name w:val="标题 1 字符"/>
    <w:link w:val="4"/>
    <w:qFormat/>
    <w:uiPriority w:val="0"/>
    <w:rPr>
      <w:b/>
      <w:bCs/>
      <w:kern w:val="44"/>
      <w:sz w:val="44"/>
      <w:szCs w:val="44"/>
    </w:rPr>
  </w:style>
  <w:style w:type="character" w:customStyle="1" w:styleId="23">
    <w:name w:val="标题 2 字符"/>
    <w:link w:val="5"/>
    <w:qFormat/>
    <w:uiPriority w:val="0"/>
    <w:rPr>
      <w:rFonts w:ascii="Arial" w:hAnsi="Arial" w:eastAsia="黑体"/>
      <w:kern w:val="0"/>
      <w:sz w:val="32"/>
      <w:szCs w:val="20"/>
    </w:rPr>
  </w:style>
  <w:style w:type="paragraph" w:customStyle="1" w:styleId="24">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10090</Words>
  <Characters>10526</Characters>
  <Lines>0</Lines>
  <Paragraphs>0</Paragraphs>
  <TotalTime>13</TotalTime>
  <ScaleCrop>false</ScaleCrop>
  <LinksUpToDate>false</LinksUpToDate>
  <CharactersWithSpaces>12100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2022-10-05T03:11:00Z</dcterms:created>
  <dc:creator>๑ 昕 ๑</dc:creator>
  <cp:lastModifiedBy>๑ 昕 ๑</cp:lastModifiedBy>
  <dcterms:modified xsi:type="dcterms:W3CDTF">2022-10-05T06:17:39Z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27797AC7BA074DD789B5E2AF4AC9C9AE</vt:lpwstr>
  </property>
</Properties>
</file>